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36DD9F7F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>
        <w:rPr>
          <w:rFonts w:ascii="Arial" w:eastAsia="Arial" w:hAnsi="Arial" w:cs="Arial"/>
          <w:b/>
          <w:color w:val="44546A" w:themeColor="text2"/>
          <w:sz w:val="28"/>
        </w:rPr>
        <w:t>1</w:t>
      </w:r>
    </w:p>
    <w:p w14:paraId="7EC698D4" w14:textId="71ACB369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 by Authorized Board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75680039" w14:textId="3E3F0899" w:rsidR="00884271" w:rsidRPr="00CD14D7" w:rsidRDefault="00884271" w:rsidP="0078230C">
            <w:pPr>
              <w:spacing w:after="120"/>
              <w:ind w:lef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 for Proposal Number/</w:t>
            </w:r>
            <w:r w:rsidR="00BC38CF">
              <w:rPr>
                <w:rFonts w:ascii="Arial" w:hAnsi="Arial" w:cs="Arial"/>
                <w:b/>
              </w:rPr>
              <w:t>Contract Number/</w:t>
            </w:r>
            <w:r w:rsidRPr="00CD14D7">
              <w:rPr>
                <w:rFonts w:ascii="Arial" w:hAnsi="Arial" w:cs="Arial"/>
                <w:b/>
              </w:rPr>
              <w:t>Service:</w:t>
            </w:r>
            <w:r w:rsidRPr="00CD14D7">
              <w:rPr>
                <w:rFonts w:ascii="Arial" w:hAnsi="Arial" w:cs="Arial"/>
              </w:rPr>
              <w:tab/>
            </w:r>
          </w:p>
          <w:p w14:paraId="711D3057" w14:textId="77777777" w:rsidR="00614022" w:rsidRPr="00614022" w:rsidRDefault="00884271" w:rsidP="00614022">
            <w:pPr>
              <w:rPr>
                <w:rFonts w:ascii="Arial" w:hAnsi="Arial" w:cs="Arial"/>
              </w:rPr>
            </w:pPr>
            <w:r w:rsidRPr="00614022">
              <w:rPr>
                <w:rFonts w:ascii="Arial" w:hAnsi="Arial" w:cs="Arial"/>
              </w:rPr>
              <w:t>ET</w:t>
            </w:r>
            <w:r w:rsidR="00614022" w:rsidRPr="00614022">
              <w:rPr>
                <w:rFonts w:ascii="Arial" w:hAnsi="Arial" w:cs="Arial"/>
              </w:rPr>
              <w:t>I0047 Third Party Administration of the Wisconsin Public Employers Group Life Insurance Program</w:t>
            </w:r>
          </w:p>
          <w:p w14:paraId="25DF5D7E" w14:textId="0DC7623D" w:rsidR="00884271" w:rsidRPr="0078230C" w:rsidRDefault="00884271" w:rsidP="00614022">
            <w:pPr>
              <w:pStyle w:val="ListParagraph"/>
              <w:tabs>
                <w:tab w:val="left" w:pos="540"/>
                <w:tab w:val="right" w:leader="dot" w:pos="9350"/>
              </w:tabs>
              <w:ind w:left="165"/>
              <w:contextualSpacing w:val="0"/>
              <w:rPr>
                <w:rFonts w:ascii="Arial" w:hAnsi="Arial" w:cs="Arial"/>
                <w:caps/>
              </w:rPr>
            </w:pPr>
          </w:p>
        </w:tc>
      </w:tr>
      <w:tr w:rsidR="00884271" w14:paraId="53538FBA" w14:textId="77777777" w:rsidTr="00C72B6F">
        <w:tc>
          <w:tcPr>
            <w:tcW w:w="10530" w:type="dxa"/>
          </w:tcPr>
          <w:p w14:paraId="75262482" w14:textId="797E74CE" w:rsidR="00884271" w:rsidRPr="005D67D4" w:rsidRDefault="00884271" w:rsidP="00CD14D7">
            <w:pPr>
              <w:spacing w:before="120"/>
              <w:ind w:left="-14"/>
              <w:rPr>
                <w:rFonts w:ascii="Arial" w:hAnsi="Arial" w:cs="Arial"/>
                <w:b/>
                <w:u w:val="single"/>
              </w:rPr>
            </w:pPr>
            <w:r w:rsidRPr="00884271">
              <w:rPr>
                <w:rFonts w:ascii="Arial" w:hAnsi="Arial" w:cs="Arial"/>
                <w:b/>
              </w:rPr>
              <w:t xml:space="preserve">Authorized Board: </w:t>
            </w:r>
            <w:r>
              <w:rPr>
                <w:rFonts w:ascii="Arial" w:hAnsi="Arial" w:cs="Arial"/>
              </w:rPr>
              <w:t>Group Insurance Board</w:t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01FF7911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r w:rsidR="005060E6">
              <w:rPr>
                <w:rFonts w:ascii="Arial" w:hAnsi="Arial" w:cs="Arial"/>
              </w:rPr>
              <w:t>xxxx</w:t>
            </w:r>
            <w:r w:rsidR="00154284" w:rsidRPr="005D67D4">
              <w:rPr>
                <w:rFonts w:ascii="Arial" w:hAnsi="Arial" w:cs="Arial"/>
              </w:rPr>
              <w:t xml:space="preserve"> -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5060E6">
              <w:rPr>
                <w:rFonts w:ascii="Arial" w:hAnsi="Arial" w:cs="Arial"/>
              </w:rPr>
              <w:t>xxxx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xxxx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208DBC1F" w14:textId="3C88C0DD" w:rsidR="00614022" w:rsidRDefault="00880E31" w:rsidP="00614022">
      <w:pPr>
        <w:pStyle w:val="ListParagraph"/>
        <w:numPr>
          <w:ilvl w:val="0"/>
          <w:numId w:val="36"/>
        </w:numPr>
        <w:ind w:right="-36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Group Insurance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7301C6" w:rsidRPr="00E10035">
        <w:rPr>
          <w:rFonts w:ascii="Arial" w:hAnsi="Arial" w:cs="Arial"/>
          <w:sz w:val="18"/>
          <w:szCs w:val="18"/>
        </w:rPr>
        <w:t>,</w:t>
      </w:r>
      <w:r w:rsidRPr="00E10035">
        <w:rPr>
          <w:rFonts w:ascii="Arial" w:hAnsi="Arial" w:cs="Arial"/>
          <w:sz w:val="18"/>
          <w:szCs w:val="18"/>
        </w:rPr>
        <w:t xml:space="preserve"> whose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Pr="00E10035">
        <w:rPr>
          <w:rFonts w:ascii="Arial" w:hAnsi="Arial" w:cs="Arial"/>
          <w:sz w:val="18"/>
          <w:szCs w:val="18"/>
        </w:rPr>
        <w:t>. The Department is the sole point of contact for this</w:t>
      </w:r>
      <w:r w:rsidR="00614022">
        <w:rPr>
          <w:rFonts w:ascii="Arial" w:hAnsi="Arial" w:cs="Arial"/>
          <w:sz w:val="18"/>
          <w:szCs w:val="18"/>
        </w:rPr>
        <w:t xml:space="preserve"> Contract. </w:t>
      </w:r>
    </w:p>
    <w:p w14:paraId="598766D6" w14:textId="07BB54F7" w:rsidR="00880E31" w:rsidRPr="00E10035" w:rsidRDefault="00880E31" w:rsidP="00614022">
      <w:pPr>
        <w:pStyle w:val="ListParagraph"/>
        <w:ind w:right="-36"/>
        <w:rPr>
          <w:rFonts w:ascii="Arial" w:hAnsi="Arial" w:cs="Arial"/>
          <w:sz w:val="18"/>
          <w:szCs w:val="18"/>
        </w:rPr>
      </w:pPr>
    </w:p>
    <w:p w14:paraId="429A8873" w14:textId="169EEF15" w:rsidR="00CD6C5C" w:rsidRPr="00C266F8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C266F8">
        <w:rPr>
          <w:rFonts w:ascii="Arial" w:hAnsi="Arial"/>
          <w:sz w:val="18"/>
          <w:szCs w:val="18"/>
        </w:rPr>
        <w:t xml:space="preserve">2. </w:t>
      </w:r>
      <w:r w:rsidRPr="00C266F8">
        <w:rPr>
          <w:rFonts w:ascii="Arial" w:hAnsi="Arial"/>
          <w:sz w:val="18"/>
          <w:szCs w:val="18"/>
        </w:rPr>
        <w:tab/>
      </w:r>
      <w:r w:rsidR="006714D0" w:rsidRPr="00C266F8">
        <w:rPr>
          <w:rFonts w:ascii="Arial" w:hAnsi="Arial"/>
          <w:sz w:val="18"/>
          <w:szCs w:val="18"/>
        </w:rPr>
        <w:t xml:space="preserve">Whereby the Department agrees to direct the purchase and </w:t>
      </w:r>
      <w:r w:rsidR="00D54AA0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ontractor agrees to supply the </w:t>
      </w:r>
      <w:r w:rsidR="004264E8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 requirements in accordance with </w:t>
      </w:r>
      <w:r w:rsidR="00BA0613" w:rsidRPr="00C266F8">
        <w:rPr>
          <w:rFonts w:ascii="Arial" w:hAnsi="Arial"/>
          <w:sz w:val="18"/>
          <w:szCs w:val="18"/>
        </w:rPr>
        <w:t>the documents specified in the order of precedence below</w:t>
      </w:r>
      <w:r w:rsidR="00F77349" w:rsidRPr="00C266F8">
        <w:rPr>
          <w:rFonts w:ascii="Arial" w:hAnsi="Arial"/>
          <w:sz w:val="18"/>
          <w:szCs w:val="18"/>
        </w:rPr>
        <w:t>,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C266F8" w:rsidRPr="00C266F8">
        <w:rPr>
          <w:rFonts w:ascii="Arial" w:hAnsi="Arial"/>
          <w:sz w:val="18"/>
          <w:szCs w:val="18"/>
        </w:rPr>
        <w:t xml:space="preserve">which are </w:t>
      </w:r>
      <w:r w:rsidR="006714D0" w:rsidRPr="00C266F8">
        <w:rPr>
          <w:rFonts w:ascii="Arial" w:hAnsi="Arial"/>
          <w:sz w:val="18"/>
          <w:szCs w:val="18"/>
        </w:rPr>
        <w:t>hereby made a part of th</w:t>
      </w:r>
      <w:r w:rsidR="00884271" w:rsidRPr="00C266F8">
        <w:rPr>
          <w:rFonts w:ascii="Arial" w:hAnsi="Arial"/>
          <w:sz w:val="18"/>
          <w:szCs w:val="18"/>
        </w:rPr>
        <w:t>is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2173D7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>ontract</w:t>
      </w:r>
      <w:r w:rsidR="00D54AA0" w:rsidRPr="00C266F8">
        <w:rPr>
          <w:rFonts w:ascii="Arial" w:hAnsi="Arial"/>
          <w:sz w:val="18"/>
          <w:szCs w:val="18"/>
        </w:rPr>
        <w:t xml:space="preserve"> by reference</w:t>
      </w:r>
      <w:r w:rsidR="006714D0" w:rsidRPr="00C266F8">
        <w:rPr>
          <w:rFonts w:ascii="Arial" w:hAnsi="Arial"/>
          <w:sz w:val="18"/>
          <w:szCs w:val="18"/>
        </w:rPr>
        <w:t>.</w:t>
      </w:r>
      <w:r w:rsidR="006714D0" w:rsidRPr="00C266F8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04EB3BF7" w:rsidR="002F5623" w:rsidRPr="00E10035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1E378D0E" w14:textId="3FD617B9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61402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Request for Proposal (RFP) </w:t>
      </w:r>
      <w:r w:rsidR="00C266F8">
        <w:rPr>
          <w:rFonts w:ascii="Arial" w:hAnsi="Arial" w:cs="Arial"/>
          <w:sz w:val="18"/>
          <w:szCs w:val="18"/>
        </w:rPr>
        <w:t>ETI0047</w:t>
      </w:r>
      <w:r w:rsidR="002F5623" w:rsidRPr="00E10035">
        <w:rPr>
          <w:rFonts w:ascii="Arial" w:hAnsi="Arial" w:cs="Arial"/>
          <w:sz w:val="18"/>
          <w:szCs w:val="18"/>
        </w:rPr>
        <w:t xml:space="preserve"> dated </w:t>
      </w:r>
      <w:r w:rsidR="00C266F8">
        <w:rPr>
          <w:rFonts w:ascii="Arial" w:hAnsi="Arial" w:cs="Arial"/>
          <w:sz w:val="18"/>
          <w:szCs w:val="18"/>
        </w:rPr>
        <w:t>January 3</w:t>
      </w:r>
      <w:r w:rsidR="00884271">
        <w:rPr>
          <w:rFonts w:ascii="Arial" w:hAnsi="Arial" w:cs="Arial"/>
          <w:sz w:val="18"/>
          <w:szCs w:val="18"/>
        </w:rPr>
        <w:t>1, 20</w:t>
      </w:r>
      <w:r w:rsidR="00C266F8">
        <w:rPr>
          <w:rFonts w:ascii="Arial" w:hAnsi="Arial" w:cs="Arial"/>
          <w:sz w:val="18"/>
          <w:szCs w:val="18"/>
        </w:rPr>
        <w:t>20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12A0F091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614022">
        <w:rPr>
          <w:rFonts w:ascii="Arial" w:hAnsi="Arial" w:cs="Arial"/>
          <w:sz w:val="18"/>
          <w:szCs w:val="18"/>
        </w:rPr>
        <w:t>d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r w:rsidR="005060E6">
        <w:rPr>
          <w:rFonts w:ascii="Arial" w:hAnsi="Arial"/>
          <w:sz w:val="18"/>
          <w:szCs w:val="18"/>
        </w:rPr>
        <w:t>xxxx</w:t>
      </w:r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2A249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099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EDE" w14:textId="77777777" w:rsidR="00790CBD" w:rsidRPr="008666A0" w:rsidRDefault="00790CBD" w:rsidP="002A249C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2A249C">
        <w:trPr>
          <w:cantSplit/>
          <w:trHeight w:hRule="exact" w:val="380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4718AE2B" w:rsidR="00790CBD" w:rsidRDefault="00614022" w:rsidP="00991163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State of Wisconsin Group Insurance Board</w:t>
            </w: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033909C2" w:rsidR="00790CBD" w:rsidRPr="00A25318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A25318">
              <w:rPr>
                <w:rFonts w:ascii="Arial" w:hAnsi="Arial" w:cs="Arial"/>
                <w:i/>
                <w:sz w:val="18"/>
              </w:rPr>
              <w:t>SAMPLE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22309A53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 w:rsidR="002A249C">
              <w:rPr>
                <w:rFonts w:ascii="Arial" w:hAnsi="Arial" w:cs="Arial"/>
                <w:color w:val="000000"/>
                <w:sz w:val="16"/>
                <w:szCs w:val="16"/>
              </w:rPr>
              <w:t xml:space="preserve"> or dba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2A249C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2A249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4FF1CE9B" w:rsidR="00790CBD" w:rsidRPr="00256962" w:rsidRDefault="002A249C" w:rsidP="00991163">
            <w:pPr>
              <w:rPr>
                <w:rFonts w:ascii="Arial" w:hAnsi="Arial" w:cs="Arial"/>
                <w:color w:val="000000"/>
              </w:rPr>
            </w:pPr>
            <w:r w:rsidRPr="00A25318">
              <w:rPr>
                <w:rFonts w:ascii="Arial" w:hAnsi="Arial" w:cs="Arial"/>
                <w:i/>
                <w:sz w:val="18"/>
              </w:rPr>
              <w:t>SAMPLE</w:t>
            </w:r>
            <w:bookmarkStart w:id="0" w:name="_GoBack"/>
            <w:bookmarkEnd w:id="0"/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2A249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2A249C">
        <w:trPr>
          <w:cantSplit/>
          <w:trHeight w:val="251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AC6706" w14:textId="5A2B0FD6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 xml:space="preserve">A. John Voelker,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ETF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Deputy Secretary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="00884271">
              <w:rPr>
                <w:rFonts w:ascii="Arial" w:hAnsi="Arial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2A249C">
        <w:trPr>
          <w:cantSplit/>
          <w:trHeight w:hRule="exact" w:val="371"/>
        </w:trPr>
        <w:tc>
          <w:tcPr>
            <w:tcW w:w="468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2A249C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2A249C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4F7D7ADE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A25318">
              <w:rPr>
                <w:rFonts w:ascii="Arial" w:hAnsi="Arial" w:cs="Arial"/>
                <w:i/>
                <w:color w:val="000000"/>
              </w:rPr>
              <w:t>SAMPLE</w:t>
            </w:r>
          </w:p>
        </w:tc>
      </w:tr>
      <w:tr w:rsidR="00790CBD" w:rsidRPr="00256962" w14:paraId="1A878F1F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17D7F8C4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</w:p>
        </w:tc>
      </w:tr>
      <w:tr w:rsidR="00790CBD" w:rsidRPr="00256962" w14:paraId="22D4D5B1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1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C33CC" w14:textId="7190D430" w:rsidR="00BC38CF" w:rsidRPr="00BC38CF" w:rsidRDefault="00BC38CF" w:rsidP="00BC38CF">
        <w:pPr>
          <w:pStyle w:val="Footer"/>
          <w:rPr>
            <w:rFonts w:ascii="Arial" w:hAnsi="Arial" w:cs="Arial"/>
            <w:sz w:val="18"/>
            <w:szCs w:val="18"/>
          </w:rPr>
        </w:pPr>
        <w:r w:rsidRPr="00BC38CF">
          <w:rPr>
            <w:rFonts w:ascii="Arial" w:hAnsi="Arial" w:cs="Arial"/>
            <w:sz w:val="18"/>
            <w:szCs w:val="18"/>
          </w:rPr>
          <w:t>ET</w:t>
        </w:r>
        <w:r w:rsidR="00614022">
          <w:rPr>
            <w:rFonts w:ascii="Arial" w:hAnsi="Arial" w:cs="Arial"/>
            <w:sz w:val="18"/>
            <w:szCs w:val="18"/>
          </w:rPr>
          <w:t>I0047</w:t>
        </w:r>
      </w:p>
      <w:p w14:paraId="297C5B00" w14:textId="56F9E757" w:rsidR="008C2983" w:rsidRDefault="00614022" w:rsidP="00BC38CF">
        <w:pPr>
          <w:pStyle w:val="Footer"/>
        </w:pPr>
        <w:r>
          <w:rPr>
            <w:rFonts w:ascii="Arial" w:hAnsi="Arial" w:cs="Arial"/>
            <w:sz w:val="18"/>
            <w:szCs w:val="18"/>
          </w:rPr>
          <w:t>Appendix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DD81A1B"/>
    <w:multiLevelType w:val="hybridMultilevel"/>
    <w:tmpl w:val="4D4E0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30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1"/>
  </w:num>
  <w:num w:numId="15">
    <w:abstractNumId w:val="33"/>
  </w:num>
  <w:num w:numId="16">
    <w:abstractNumId w:val="23"/>
  </w:num>
  <w:num w:numId="17">
    <w:abstractNumId w:val="16"/>
  </w:num>
  <w:num w:numId="18">
    <w:abstractNumId w:val="32"/>
  </w:num>
  <w:num w:numId="19">
    <w:abstractNumId w:val="1"/>
  </w:num>
  <w:num w:numId="20">
    <w:abstractNumId w:val="11"/>
  </w:num>
  <w:num w:numId="21">
    <w:abstractNumId w:val="28"/>
  </w:num>
  <w:num w:numId="22">
    <w:abstractNumId w:val="3"/>
  </w:num>
  <w:num w:numId="23">
    <w:abstractNumId w:val="14"/>
  </w:num>
  <w:num w:numId="24">
    <w:abstractNumId w:val="27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6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607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249C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14022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869C5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266F8"/>
    <w:rsid w:val="00C323F7"/>
    <w:rsid w:val="00C356F1"/>
    <w:rsid w:val="00C57FCC"/>
    <w:rsid w:val="00C677AF"/>
    <w:rsid w:val="00C72B6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C11D1"/>
    <w:rsid w:val="00ED2AE6"/>
    <w:rsid w:val="00ED60B7"/>
    <w:rsid w:val="00EE069B"/>
    <w:rsid w:val="00EE1399"/>
    <w:rsid w:val="00EE672E"/>
    <w:rsid w:val="00EF54DA"/>
    <w:rsid w:val="00F22149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Props1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1F147-D80F-44D9-9463-65BCC339317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beth.bucaida@etf.wi.gov</dc:creator>
  <cp:keywords/>
  <dc:description/>
  <cp:lastModifiedBy>Bucaida, Beth - ETF</cp:lastModifiedBy>
  <cp:revision>5</cp:revision>
  <cp:lastPrinted>2017-12-27T21:10:00Z</cp:lastPrinted>
  <dcterms:created xsi:type="dcterms:W3CDTF">2019-12-19T19:26:00Z</dcterms:created>
  <dcterms:modified xsi:type="dcterms:W3CDTF">2020-01-28T16:19:00Z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