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780" w:type="dxa"/>
        <w:tblLayout w:type="fixed"/>
        <w:tblLook w:val="0000" w:firstRow="0" w:lastRow="0" w:firstColumn="0" w:lastColumn="0" w:noHBand="0" w:noVBand="0"/>
      </w:tblPr>
      <w:tblGrid>
        <w:gridCol w:w="2970"/>
        <w:gridCol w:w="7110"/>
        <w:gridCol w:w="2700"/>
      </w:tblGrid>
      <w:tr w:rsidR="007D3859" w:rsidRPr="000E00FF" w14:paraId="1BC796BB" w14:textId="77777777" w:rsidTr="007D3859">
        <w:trPr>
          <w:trHeight w:val="1793"/>
        </w:trPr>
        <w:tc>
          <w:tcPr>
            <w:tcW w:w="2970" w:type="dxa"/>
          </w:tcPr>
          <w:p w14:paraId="12F91DA0" w14:textId="77777777" w:rsidR="007D3859" w:rsidRPr="000E00FF" w:rsidRDefault="007D3859" w:rsidP="007D3859">
            <w:pPr>
              <w:jc w:val="center"/>
              <w:rPr>
                <w:sz w:val="24"/>
                <w:szCs w:val="24"/>
              </w:rPr>
            </w:pPr>
            <w:bookmarkStart w:id="0" w:name="_Hlk38265000"/>
            <w:bookmarkStart w:id="1" w:name="_Hlk38264971"/>
            <w:bookmarkEnd w:id="0"/>
            <w:bookmarkEnd w:id="1"/>
            <w:r w:rsidRPr="000E00FF">
              <w:rPr>
                <w:noProof/>
                <w:sz w:val="24"/>
                <w:szCs w:val="24"/>
              </w:rPr>
              <w:drawing>
                <wp:inline distT="0" distB="0" distL="0" distR="0" wp14:anchorId="10B4E321" wp14:editId="7D42A469">
                  <wp:extent cx="1504950" cy="1122680"/>
                  <wp:effectExtent l="0" t="0" r="0" b="1270"/>
                  <wp:docPr id="2"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22680"/>
                          </a:xfrm>
                          <a:prstGeom prst="rect">
                            <a:avLst/>
                          </a:prstGeom>
                          <a:noFill/>
                          <a:ln w="9525">
                            <a:noFill/>
                            <a:miter lim="800000"/>
                            <a:headEnd/>
                            <a:tailEnd/>
                          </a:ln>
                        </pic:spPr>
                      </pic:pic>
                    </a:graphicData>
                  </a:graphic>
                </wp:inline>
              </w:drawing>
            </w:r>
          </w:p>
        </w:tc>
        <w:tc>
          <w:tcPr>
            <w:tcW w:w="7110" w:type="dxa"/>
          </w:tcPr>
          <w:p w14:paraId="79F24924" w14:textId="77777777" w:rsidR="007D3859" w:rsidRPr="000E00FF" w:rsidRDefault="007D3859" w:rsidP="00A77004">
            <w:pPr>
              <w:pStyle w:val="Title"/>
              <w:rPr>
                <w:rFonts w:ascii="Arial" w:hAnsi="Arial"/>
                <w:b/>
                <w:sz w:val="24"/>
                <w:szCs w:val="24"/>
              </w:rPr>
            </w:pPr>
          </w:p>
          <w:p w14:paraId="5EECF39C" w14:textId="77777777" w:rsidR="007D3859" w:rsidRPr="000E00FF" w:rsidRDefault="007D3859" w:rsidP="00A77004">
            <w:pPr>
              <w:ind w:right="-108"/>
              <w:rPr>
                <w:i/>
                <w:sz w:val="24"/>
                <w:szCs w:val="24"/>
              </w:rPr>
            </w:pPr>
            <w:r>
              <w:rPr>
                <w:noProof/>
                <w:sz w:val="24"/>
                <w:szCs w:val="24"/>
              </w:rPr>
              <mc:AlternateContent>
                <mc:Choice Requires="wps">
                  <w:drawing>
                    <wp:inline distT="0" distB="0" distL="0" distR="0" wp14:anchorId="1832356B" wp14:editId="6A0AE60B">
                      <wp:extent cx="4895850" cy="822960"/>
                      <wp:effectExtent l="0" t="0" r="0" b="0"/>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C909C" w14:textId="77777777" w:rsidR="007D3859" w:rsidRDefault="007D3859" w:rsidP="007D3859">
                                  <w:pPr>
                                    <w:pStyle w:val="Heading2"/>
                                    <w:jc w:val="center"/>
                                    <w:rPr>
                                      <w:rFonts w:ascii="Century Gothic" w:hAnsi="Century Gothic"/>
                                      <w:sz w:val="28"/>
                                    </w:rPr>
                                  </w:pPr>
                                  <w:r>
                                    <w:rPr>
                                      <w:rFonts w:ascii="Century Gothic" w:hAnsi="Century Gothic"/>
                                      <w:sz w:val="28"/>
                                    </w:rPr>
                                    <w:t>STATE OF WISCONSIN</w:t>
                                  </w:r>
                                </w:p>
                                <w:p w14:paraId="1D947648" w14:textId="77777777" w:rsidR="007D3859" w:rsidRDefault="007D3859" w:rsidP="007D3859">
                                  <w:pPr>
                                    <w:jc w:val="center"/>
                                    <w:rPr>
                                      <w:rFonts w:ascii="Century Gothic" w:hAnsi="Century Gothic"/>
                                      <w:b/>
                                      <w:sz w:val="28"/>
                                    </w:rPr>
                                  </w:pPr>
                                  <w:r>
                                    <w:rPr>
                                      <w:rFonts w:ascii="Century Gothic" w:hAnsi="Century Gothic"/>
                                      <w:b/>
                                      <w:sz w:val="28"/>
                                    </w:rPr>
                                    <w:t>Department of Employee Trust Funds</w:t>
                                  </w:r>
                                </w:p>
                                <w:p w14:paraId="638A782E" w14:textId="77777777" w:rsidR="007D3859" w:rsidRPr="004A7A4A" w:rsidRDefault="007D3859" w:rsidP="007D3859">
                                  <w:pPr>
                                    <w:jc w:val="center"/>
                                    <w:rPr>
                                      <w:rFonts w:ascii="Century Gothic" w:hAnsi="Century Gothic"/>
                                      <w:b/>
                                      <w:sz w:val="18"/>
                                      <w:szCs w:val="18"/>
                                    </w:rPr>
                                  </w:pPr>
                                  <w:r w:rsidRPr="004A7A4A">
                                    <w:rPr>
                                      <w:rFonts w:ascii="Century Gothic" w:hAnsi="Century Gothic"/>
                                      <w:b/>
                                      <w:sz w:val="18"/>
                                      <w:szCs w:val="18"/>
                                    </w:rPr>
                                    <w:t xml:space="preserve">Robert J. Conlin </w:t>
                                  </w:r>
                                </w:p>
                                <w:p w14:paraId="52315640" w14:textId="77777777" w:rsidR="007D3859" w:rsidRDefault="007D3859" w:rsidP="007D3859">
                                  <w:pPr>
                                    <w:jc w:val="center"/>
                                    <w:rPr>
                                      <w:rFonts w:ascii="Century Gothic" w:hAnsi="Century Gothic"/>
                                      <w:sz w:val="16"/>
                                    </w:rPr>
                                  </w:pPr>
                                  <w:r>
                                    <w:rPr>
                                      <w:rFonts w:ascii="Century Gothic" w:hAnsi="Century Gothic"/>
                                      <w:sz w:val="16"/>
                                    </w:rPr>
                                    <w:t>SECRETARY</w:t>
                                  </w:r>
                                </w:p>
                                <w:p w14:paraId="49C6B169" w14:textId="77777777" w:rsidR="007D3859" w:rsidRDefault="007D3859" w:rsidP="007D3859">
                                  <w:pPr>
                                    <w:jc w:val="center"/>
                                    <w:rPr>
                                      <w:rFonts w:ascii="Century Gothic" w:hAnsi="Century Gothic"/>
                                      <w:b/>
                                      <w:sz w:val="28"/>
                                    </w:rPr>
                                  </w:pPr>
                                </w:p>
                              </w:txbxContent>
                            </wps:txbx>
                            <wps:bodyPr rot="0" vert="horz" wrap="square" lIns="91440" tIns="45720" rIns="91440" bIns="45720" anchor="t" anchorCtr="0" upright="1">
                              <a:noAutofit/>
                            </wps:bodyPr>
                          </wps:wsp>
                        </a:graphicData>
                      </a:graphic>
                    </wp:inline>
                  </w:drawing>
                </mc:Choice>
                <mc:Fallback>
                  <w:pict>
                    <v:shapetype w14:anchorId="1832356B" id="_x0000_t202" coordsize="21600,21600" o:spt="202" path="m,l,21600r21600,l21600,xe">
                      <v:stroke joinstyle="miter"/>
                      <v:path gradientshapeok="t" o:connecttype="rect"/>
                    </v:shapetype>
                    <v:shape id="Text Box 7" o:spid="_x0000_s1026" type="#_x0000_t202" style="width:385.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8jgQ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" stroked="f">
                      <v:textbox>
                        <w:txbxContent>
                          <w:p w14:paraId="1A8C909C" w14:textId="77777777" w:rsidR="007D3859" w:rsidRDefault="007D3859" w:rsidP="007D3859">
                            <w:pPr>
                              <w:pStyle w:val="Heading2"/>
                              <w:jc w:val="center"/>
                              <w:rPr>
                                <w:rFonts w:ascii="Century Gothic" w:hAnsi="Century Gothic"/>
                                <w:sz w:val="28"/>
                              </w:rPr>
                            </w:pPr>
                            <w:r>
                              <w:rPr>
                                <w:rFonts w:ascii="Century Gothic" w:hAnsi="Century Gothic"/>
                                <w:sz w:val="28"/>
                              </w:rPr>
                              <w:t>STATE OF WISCONSIN</w:t>
                            </w:r>
                          </w:p>
                          <w:p w14:paraId="1D947648" w14:textId="77777777" w:rsidR="007D3859" w:rsidRDefault="007D3859" w:rsidP="007D3859">
                            <w:pPr>
                              <w:jc w:val="center"/>
                              <w:rPr>
                                <w:rFonts w:ascii="Century Gothic" w:hAnsi="Century Gothic"/>
                                <w:b/>
                                <w:sz w:val="28"/>
                              </w:rPr>
                            </w:pPr>
                            <w:r>
                              <w:rPr>
                                <w:rFonts w:ascii="Century Gothic" w:hAnsi="Century Gothic"/>
                                <w:b/>
                                <w:sz w:val="28"/>
                              </w:rPr>
                              <w:t>Department of Employee Trust Funds</w:t>
                            </w:r>
                          </w:p>
                          <w:p w14:paraId="638A782E" w14:textId="77777777" w:rsidR="007D3859" w:rsidRPr="004A7A4A" w:rsidRDefault="007D3859" w:rsidP="007D3859">
                            <w:pPr>
                              <w:jc w:val="center"/>
                              <w:rPr>
                                <w:rFonts w:ascii="Century Gothic" w:hAnsi="Century Gothic"/>
                                <w:b/>
                                <w:sz w:val="18"/>
                                <w:szCs w:val="18"/>
                              </w:rPr>
                            </w:pPr>
                            <w:r w:rsidRPr="004A7A4A">
                              <w:rPr>
                                <w:rFonts w:ascii="Century Gothic" w:hAnsi="Century Gothic"/>
                                <w:b/>
                                <w:sz w:val="18"/>
                                <w:szCs w:val="18"/>
                              </w:rPr>
                              <w:t xml:space="preserve">Robert J. Conlin </w:t>
                            </w:r>
                          </w:p>
                          <w:p w14:paraId="52315640" w14:textId="77777777" w:rsidR="007D3859" w:rsidRDefault="007D3859" w:rsidP="007D3859">
                            <w:pPr>
                              <w:jc w:val="center"/>
                              <w:rPr>
                                <w:rFonts w:ascii="Century Gothic" w:hAnsi="Century Gothic"/>
                                <w:sz w:val="16"/>
                              </w:rPr>
                            </w:pPr>
                            <w:r>
                              <w:rPr>
                                <w:rFonts w:ascii="Century Gothic" w:hAnsi="Century Gothic"/>
                                <w:sz w:val="16"/>
                              </w:rPr>
                              <w:t>SECRETARY</w:t>
                            </w:r>
                          </w:p>
                          <w:p w14:paraId="49C6B169" w14:textId="77777777" w:rsidR="007D3859" w:rsidRDefault="007D3859" w:rsidP="007D3859">
                            <w:pPr>
                              <w:jc w:val="center"/>
                              <w:rPr>
                                <w:rFonts w:ascii="Century Gothic" w:hAnsi="Century Gothic"/>
                                <w:b/>
                                <w:sz w:val="28"/>
                              </w:rPr>
                            </w:pPr>
                          </w:p>
                        </w:txbxContent>
                      </v:textbox>
                      <w10:anchorlock/>
                    </v:shape>
                  </w:pict>
                </mc:Fallback>
              </mc:AlternateContent>
            </w:r>
          </w:p>
        </w:tc>
        <w:tc>
          <w:tcPr>
            <w:tcW w:w="2700" w:type="dxa"/>
            <w:tcBorders>
              <w:left w:val="single" w:sz="18" w:space="0" w:color="auto"/>
            </w:tcBorders>
          </w:tcPr>
          <w:p w14:paraId="434A7DC4" w14:textId="77777777" w:rsidR="007D3859" w:rsidRPr="000E00FF" w:rsidRDefault="007D3859" w:rsidP="00A77004">
            <w:pPr>
              <w:jc w:val="right"/>
              <w:rPr>
                <w:sz w:val="24"/>
                <w:szCs w:val="24"/>
              </w:rPr>
            </w:pPr>
            <w:r>
              <w:rPr>
                <w:noProof/>
                <w:sz w:val="24"/>
                <w:szCs w:val="24"/>
              </w:rPr>
              <mc:AlternateContent>
                <mc:Choice Requires="wps">
                  <w:drawing>
                    <wp:inline distT="0" distB="0" distL="0" distR="0" wp14:anchorId="56D93027" wp14:editId="65193CFB">
                      <wp:extent cx="1371600" cy="1097280"/>
                      <wp:effectExtent l="0" t="0" r="0" b="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7D38B" w14:textId="77777777" w:rsidR="007D3859" w:rsidRPr="006370F7" w:rsidRDefault="007D3859" w:rsidP="007D3859">
                                  <w:pPr>
                                    <w:tabs>
                                      <w:tab w:val="left" w:pos="672"/>
                                      <w:tab w:val="left" w:pos="1152"/>
                                      <w:tab w:val="left" w:pos="1632"/>
                                      <w:tab w:val="left" w:pos="2112"/>
                                      <w:tab w:val="right" w:pos="10080"/>
                                    </w:tabs>
                                    <w:spacing w:line="240" w:lineRule="exact"/>
                                    <w:ind w:left="-90"/>
                                    <w:jc w:val="right"/>
                                    <w:rPr>
                                      <w:rFonts w:ascii="Century Gothic" w:hAnsi="Century Gothic" w:cs="Arial"/>
                                      <w:color w:val="000000"/>
                                      <w:sz w:val="16"/>
                                      <w:szCs w:val="16"/>
                                    </w:rPr>
                                  </w:pPr>
                                  <w:r w:rsidRPr="006370F7">
                                    <w:rPr>
                                      <w:rFonts w:ascii="Century Gothic" w:hAnsi="Century Gothic" w:cs="Arial"/>
                                      <w:color w:val="000000"/>
                                      <w:sz w:val="16"/>
                                      <w:szCs w:val="16"/>
                                    </w:rPr>
                                    <w:t>4822 Madison Yards Way</w:t>
                                  </w:r>
                                </w:p>
                                <w:p w14:paraId="4A0B5556" w14:textId="77777777" w:rsidR="007D3859" w:rsidRPr="006370F7" w:rsidRDefault="007D3859" w:rsidP="007D3859">
                                  <w:pPr>
                                    <w:tabs>
                                      <w:tab w:val="left" w:pos="672"/>
                                      <w:tab w:val="left" w:pos="1152"/>
                                      <w:tab w:val="left" w:pos="1632"/>
                                      <w:tab w:val="left" w:pos="2112"/>
                                      <w:tab w:val="right" w:pos="10080"/>
                                    </w:tabs>
                                    <w:spacing w:after="60" w:line="240" w:lineRule="exact"/>
                                    <w:jc w:val="right"/>
                                    <w:rPr>
                                      <w:rFonts w:ascii="Century Gothic" w:hAnsi="Century Gothic" w:cs="Arial"/>
                                      <w:color w:val="000000"/>
                                      <w:sz w:val="16"/>
                                      <w:szCs w:val="16"/>
                                    </w:rPr>
                                  </w:pPr>
                                  <w:r w:rsidRPr="006370F7">
                                    <w:rPr>
                                      <w:rFonts w:ascii="Century Gothic" w:hAnsi="Century Gothic" w:cs="Arial"/>
                                      <w:color w:val="000000"/>
                                      <w:sz w:val="16"/>
                                      <w:szCs w:val="16"/>
                                    </w:rPr>
                                    <w:t>Madison, WI 53705-9100</w:t>
                                  </w:r>
                                </w:p>
                                <w:p w14:paraId="2FD595EA" w14:textId="77777777" w:rsidR="007D3859" w:rsidRPr="006370F7" w:rsidRDefault="007D3859" w:rsidP="007D3859">
                                  <w:pPr>
                                    <w:tabs>
                                      <w:tab w:val="left" w:pos="672"/>
                                      <w:tab w:val="left" w:pos="1152"/>
                                      <w:tab w:val="left" w:pos="1632"/>
                                      <w:tab w:val="left" w:pos="2112"/>
                                      <w:tab w:val="right" w:pos="10080"/>
                                    </w:tabs>
                                    <w:spacing w:line="240" w:lineRule="exact"/>
                                    <w:jc w:val="right"/>
                                    <w:rPr>
                                      <w:rFonts w:ascii="Century Gothic" w:hAnsi="Century Gothic" w:cs="Arial"/>
                                      <w:sz w:val="16"/>
                                      <w:szCs w:val="16"/>
                                    </w:rPr>
                                  </w:pPr>
                                  <w:r w:rsidRPr="006370F7">
                                    <w:rPr>
                                      <w:rFonts w:ascii="Century Gothic" w:hAnsi="Century Gothic" w:cs="Arial"/>
                                      <w:sz w:val="16"/>
                                      <w:szCs w:val="16"/>
                                    </w:rPr>
                                    <w:t>P. O. Box 7931</w:t>
                                  </w:r>
                                </w:p>
                                <w:p w14:paraId="2FE50B66" w14:textId="77777777" w:rsidR="007D3859" w:rsidRDefault="007D3859" w:rsidP="007D3859">
                                  <w:pPr>
                                    <w:spacing w:after="60"/>
                                    <w:ind w:left="-187"/>
                                    <w:jc w:val="right"/>
                                    <w:rPr>
                                      <w:rFonts w:ascii="Century Gothic" w:hAnsi="Century Gothic" w:cs="Arial"/>
                                      <w:sz w:val="16"/>
                                      <w:szCs w:val="16"/>
                                    </w:rPr>
                                  </w:pPr>
                                  <w:r w:rsidRPr="006370F7">
                                    <w:rPr>
                                      <w:rFonts w:ascii="Century Gothic" w:hAnsi="Century Gothic" w:cs="Arial"/>
                                      <w:sz w:val="16"/>
                                      <w:szCs w:val="16"/>
                                    </w:rPr>
                                    <w:t>Madison, WI  53707-7931</w:t>
                                  </w:r>
                                </w:p>
                                <w:p w14:paraId="00F31649" w14:textId="77777777" w:rsidR="007D3859" w:rsidRPr="006370F7" w:rsidRDefault="007D3859" w:rsidP="007D3859">
                                  <w:pPr>
                                    <w:jc w:val="right"/>
                                    <w:rPr>
                                      <w:rFonts w:ascii="Century Gothic" w:hAnsi="Century Gothic"/>
                                      <w:sz w:val="16"/>
                                      <w:szCs w:val="16"/>
                                    </w:rPr>
                                  </w:pPr>
                                  <w:r w:rsidRPr="006370F7">
                                    <w:rPr>
                                      <w:rFonts w:ascii="Century Gothic" w:hAnsi="Century Gothic"/>
                                      <w:sz w:val="16"/>
                                      <w:szCs w:val="16"/>
                                    </w:rPr>
                                    <w:t>http://etf.wi.gov</w:t>
                                  </w:r>
                                </w:p>
                              </w:txbxContent>
                            </wps:txbx>
                            <wps:bodyPr rot="0" vert="horz" wrap="square" lIns="91440" tIns="45720" rIns="91440" bIns="45720" anchor="t" anchorCtr="0" upright="1">
                              <a:noAutofit/>
                            </wps:bodyPr>
                          </wps:wsp>
                        </a:graphicData>
                      </a:graphic>
                    </wp:inline>
                  </w:drawing>
                </mc:Choice>
                <mc:Fallback>
                  <w:pict>
                    <v:shape w14:anchorId="56D93027" id="Text Box 6" o:spid="_x0000_s1027" type="#_x0000_t202" style="width:108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iThgIAABc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" stroked="f">
                      <v:textbox>
                        <w:txbxContent>
                          <w:p w14:paraId="61C7D38B" w14:textId="77777777" w:rsidR="007D3859" w:rsidRPr="006370F7" w:rsidRDefault="007D3859" w:rsidP="007D3859">
                            <w:pPr>
                              <w:tabs>
                                <w:tab w:val="left" w:pos="672"/>
                                <w:tab w:val="left" w:pos="1152"/>
                                <w:tab w:val="left" w:pos="1632"/>
                                <w:tab w:val="left" w:pos="2112"/>
                                <w:tab w:val="right" w:pos="10080"/>
                              </w:tabs>
                              <w:spacing w:line="240" w:lineRule="exact"/>
                              <w:ind w:left="-90"/>
                              <w:jc w:val="right"/>
                              <w:rPr>
                                <w:rFonts w:ascii="Century Gothic" w:hAnsi="Century Gothic" w:cs="Arial"/>
                                <w:color w:val="000000"/>
                                <w:sz w:val="16"/>
                                <w:szCs w:val="16"/>
                              </w:rPr>
                            </w:pPr>
                            <w:r w:rsidRPr="006370F7">
                              <w:rPr>
                                <w:rFonts w:ascii="Century Gothic" w:hAnsi="Century Gothic" w:cs="Arial"/>
                                <w:color w:val="000000"/>
                                <w:sz w:val="16"/>
                                <w:szCs w:val="16"/>
                              </w:rPr>
                              <w:t>4822 Madison Yards Way</w:t>
                            </w:r>
                          </w:p>
                          <w:p w14:paraId="4A0B5556" w14:textId="77777777" w:rsidR="007D3859" w:rsidRPr="006370F7" w:rsidRDefault="007D3859" w:rsidP="007D3859">
                            <w:pPr>
                              <w:tabs>
                                <w:tab w:val="left" w:pos="672"/>
                                <w:tab w:val="left" w:pos="1152"/>
                                <w:tab w:val="left" w:pos="1632"/>
                                <w:tab w:val="left" w:pos="2112"/>
                                <w:tab w:val="right" w:pos="10080"/>
                              </w:tabs>
                              <w:spacing w:after="60" w:line="240" w:lineRule="exact"/>
                              <w:jc w:val="right"/>
                              <w:rPr>
                                <w:rFonts w:ascii="Century Gothic" w:hAnsi="Century Gothic" w:cs="Arial"/>
                                <w:color w:val="000000"/>
                                <w:sz w:val="16"/>
                                <w:szCs w:val="16"/>
                              </w:rPr>
                            </w:pPr>
                            <w:r w:rsidRPr="006370F7">
                              <w:rPr>
                                <w:rFonts w:ascii="Century Gothic" w:hAnsi="Century Gothic" w:cs="Arial"/>
                                <w:color w:val="000000"/>
                                <w:sz w:val="16"/>
                                <w:szCs w:val="16"/>
                              </w:rPr>
                              <w:t>Madison, WI 53705-9100</w:t>
                            </w:r>
                          </w:p>
                          <w:p w14:paraId="2FD595EA" w14:textId="77777777" w:rsidR="007D3859" w:rsidRPr="006370F7" w:rsidRDefault="007D3859" w:rsidP="007D3859">
                            <w:pPr>
                              <w:tabs>
                                <w:tab w:val="left" w:pos="672"/>
                                <w:tab w:val="left" w:pos="1152"/>
                                <w:tab w:val="left" w:pos="1632"/>
                                <w:tab w:val="left" w:pos="2112"/>
                                <w:tab w:val="right" w:pos="10080"/>
                              </w:tabs>
                              <w:spacing w:line="240" w:lineRule="exact"/>
                              <w:jc w:val="right"/>
                              <w:rPr>
                                <w:rFonts w:ascii="Century Gothic" w:hAnsi="Century Gothic" w:cs="Arial"/>
                                <w:sz w:val="16"/>
                                <w:szCs w:val="16"/>
                              </w:rPr>
                            </w:pPr>
                            <w:r w:rsidRPr="006370F7">
                              <w:rPr>
                                <w:rFonts w:ascii="Century Gothic" w:hAnsi="Century Gothic" w:cs="Arial"/>
                                <w:sz w:val="16"/>
                                <w:szCs w:val="16"/>
                              </w:rPr>
                              <w:t>P. O. Box 7931</w:t>
                            </w:r>
                          </w:p>
                          <w:p w14:paraId="2FE50B66" w14:textId="77777777" w:rsidR="007D3859" w:rsidRDefault="007D3859" w:rsidP="007D3859">
                            <w:pPr>
                              <w:spacing w:after="60"/>
                              <w:ind w:left="-187"/>
                              <w:jc w:val="right"/>
                              <w:rPr>
                                <w:rFonts w:ascii="Century Gothic" w:hAnsi="Century Gothic" w:cs="Arial"/>
                                <w:sz w:val="16"/>
                                <w:szCs w:val="16"/>
                              </w:rPr>
                            </w:pPr>
                            <w:r w:rsidRPr="006370F7">
                              <w:rPr>
                                <w:rFonts w:ascii="Century Gothic" w:hAnsi="Century Gothic" w:cs="Arial"/>
                                <w:sz w:val="16"/>
                                <w:szCs w:val="16"/>
                              </w:rPr>
                              <w:t>Madison, WI  53707-7931</w:t>
                            </w:r>
                          </w:p>
                          <w:p w14:paraId="00F31649" w14:textId="77777777" w:rsidR="007D3859" w:rsidRPr="006370F7" w:rsidRDefault="007D3859" w:rsidP="007D3859">
                            <w:pPr>
                              <w:jc w:val="right"/>
                              <w:rPr>
                                <w:rFonts w:ascii="Century Gothic" w:hAnsi="Century Gothic"/>
                                <w:sz w:val="16"/>
                                <w:szCs w:val="16"/>
                              </w:rPr>
                            </w:pPr>
                            <w:r w:rsidRPr="006370F7">
                              <w:rPr>
                                <w:rFonts w:ascii="Century Gothic" w:hAnsi="Century Gothic"/>
                                <w:sz w:val="16"/>
                                <w:szCs w:val="16"/>
                              </w:rPr>
                              <w:t>http://etf.wi.gov</w:t>
                            </w:r>
                          </w:p>
                        </w:txbxContent>
                      </v:textbox>
                      <w10:anchorlock/>
                    </v:shape>
                  </w:pict>
                </mc:Fallback>
              </mc:AlternateContent>
            </w:r>
          </w:p>
        </w:tc>
      </w:tr>
    </w:tbl>
    <w:p w14:paraId="52EE4532" w14:textId="77777777" w:rsidR="007D3859" w:rsidRPr="00C51DFC" w:rsidRDefault="007D3859" w:rsidP="007D3859">
      <w:pPr>
        <w:rPr>
          <w:szCs w:val="22"/>
        </w:rPr>
      </w:pPr>
    </w:p>
    <w:p w14:paraId="19E17106" w14:textId="77777777" w:rsidR="007D3859" w:rsidRDefault="007D3859" w:rsidP="007D3859">
      <w:pPr>
        <w:rPr>
          <w:rFonts w:cs="Arial"/>
          <w:szCs w:val="22"/>
        </w:rPr>
      </w:pPr>
      <w:r w:rsidRPr="00C2669A">
        <w:rPr>
          <w:rFonts w:cs="Arial"/>
          <w:szCs w:val="22"/>
        </w:rPr>
        <w:t>Date:</w:t>
      </w:r>
      <w:r w:rsidRPr="00C2669A">
        <w:rPr>
          <w:rFonts w:cs="Arial"/>
          <w:szCs w:val="22"/>
        </w:rPr>
        <w:tab/>
      </w:r>
      <w:r w:rsidRPr="00C2669A">
        <w:rPr>
          <w:rFonts w:cs="Arial"/>
          <w:szCs w:val="22"/>
        </w:rPr>
        <w:tab/>
      </w:r>
      <w:r>
        <w:rPr>
          <w:rFonts w:cs="Arial"/>
          <w:szCs w:val="22"/>
        </w:rPr>
        <w:t>April 22, 2020</w:t>
      </w:r>
    </w:p>
    <w:p w14:paraId="78B9AF32" w14:textId="77777777" w:rsidR="007D3859" w:rsidRDefault="007D3859" w:rsidP="007D3859">
      <w:pPr>
        <w:rPr>
          <w:rFonts w:cs="Arial"/>
          <w:szCs w:val="22"/>
        </w:rPr>
      </w:pPr>
    </w:p>
    <w:p w14:paraId="0682FDF7" w14:textId="77777777" w:rsidR="007D3859" w:rsidRDefault="007D3859" w:rsidP="007D3859">
      <w:pPr>
        <w:tabs>
          <w:tab w:val="left" w:pos="1440"/>
        </w:tabs>
        <w:ind w:left="1440" w:hanging="1440"/>
        <w:rPr>
          <w:rFonts w:cs="Arial"/>
          <w:szCs w:val="22"/>
        </w:rPr>
      </w:pPr>
      <w:r>
        <w:rPr>
          <w:rFonts w:cs="Arial"/>
          <w:szCs w:val="22"/>
        </w:rPr>
        <w:t>To:</w:t>
      </w:r>
      <w:r>
        <w:rPr>
          <w:rFonts w:cs="Arial"/>
          <w:szCs w:val="22"/>
        </w:rPr>
        <w:tab/>
        <w:t>All Potential Proposers to ETF RFP ETI0050</w:t>
      </w:r>
    </w:p>
    <w:p w14:paraId="6A559650" w14:textId="77777777" w:rsidR="007D3859" w:rsidRPr="00C2669A" w:rsidRDefault="007D3859" w:rsidP="007D3859">
      <w:pPr>
        <w:rPr>
          <w:rFonts w:cs="Arial"/>
          <w:szCs w:val="22"/>
        </w:rPr>
      </w:pPr>
    </w:p>
    <w:p w14:paraId="707473FE" w14:textId="2ECEEC6B" w:rsidR="007D3859" w:rsidRDefault="007D3859" w:rsidP="007D3859">
      <w:pPr>
        <w:ind w:left="1440" w:hanging="1440"/>
        <w:rPr>
          <w:rFonts w:cs="Arial"/>
          <w:b/>
          <w:szCs w:val="22"/>
        </w:rPr>
      </w:pPr>
      <w:r w:rsidRPr="00C2669A">
        <w:rPr>
          <w:rFonts w:cs="Arial"/>
          <w:szCs w:val="22"/>
        </w:rPr>
        <w:t>RE:</w:t>
      </w:r>
      <w:r w:rsidRPr="00C2669A">
        <w:rPr>
          <w:rFonts w:cs="Arial"/>
          <w:szCs w:val="22"/>
        </w:rPr>
        <w:tab/>
      </w:r>
      <w:r>
        <w:rPr>
          <w:rFonts w:cs="Arial"/>
          <w:b/>
          <w:szCs w:val="22"/>
        </w:rPr>
        <w:t xml:space="preserve">ADDENDUM No. 4 to Request for Proposals (RFP) ETI0050 </w:t>
      </w:r>
      <w:r w:rsidRPr="00140D7D">
        <w:rPr>
          <w:rFonts w:cs="Arial"/>
          <w:b/>
          <w:bCs/>
          <w:szCs w:val="22"/>
        </w:rPr>
        <w:t xml:space="preserve">– </w:t>
      </w:r>
      <w:r>
        <w:rPr>
          <w:rFonts w:cs="Arial"/>
          <w:b/>
          <w:bCs/>
          <w:szCs w:val="22"/>
        </w:rPr>
        <w:t>Insurance Administration System</w:t>
      </w:r>
      <w:r>
        <w:rPr>
          <w:rFonts w:cs="Arial"/>
          <w:b/>
          <w:szCs w:val="22"/>
        </w:rPr>
        <w:t xml:space="preserve"> </w:t>
      </w:r>
    </w:p>
    <w:p w14:paraId="235869F2" w14:textId="3A5FEE8A" w:rsidR="007D3859" w:rsidRDefault="009A39CA" w:rsidP="009A39CA">
      <w:pPr>
        <w:ind w:left="1440" w:hanging="1440"/>
        <w:rPr>
          <w:rFonts w:cs="Arial"/>
          <w:b/>
          <w:szCs w:val="22"/>
        </w:rPr>
      </w:pPr>
      <w:r>
        <w:rPr>
          <w:rFonts w:cs="Arial"/>
          <w:szCs w:val="22"/>
        </w:rPr>
        <w:t>____________________________________________________________________________________________________________</w:t>
      </w:r>
    </w:p>
    <w:p w14:paraId="11E54022" w14:textId="095C239D" w:rsidR="007D3859" w:rsidRDefault="007D3859" w:rsidP="007D3859">
      <w:pPr>
        <w:rPr>
          <w:rFonts w:cs="Arial"/>
          <w:b/>
          <w:szCs w:val="22"/>
        </w:rPr>
      </w:pPr>
      <w:r>
        <w:rPr>
          <w:rFonts w:cs="Arial"/>
          <w:b/>
          <w:szCs w:val="22"/>
        </w:rPr>
        <w:t>Acknowledgement of receipt of this Addendum No. 4:</w:t>
      </w:r>
      <w:r w:rsidRPr="00842D08">
        <w:rPr>
          <w:rFonts w:cs="Arial"/>
          <w:b/>
          <w:szCs w:val="22"/>
        </w:rPr>
        <w:t xml:space="preserve"> </w:t>
      </w:r>
      <w:r>
        <w:rPr>
          <w:rFonts w:cs="Arial"/>
          <w:b/>
          <w:szCs w:val="22"/>
        </w:rPr>
        <w:t xml:space="preserve"> </w:t>
      </w:r>
    </w:p>
    <w:p w14:paraId="22DA1C50" w14:textId="77777777" w:rsidR="007D3859" w:rsidRDefault="007D3859" w:rsidP="007D3859">
      <w:pPr>
        <w:rPr>
          <w:rFonts w:cs="Arial"/>
          <w:b/>
          <w:szCs w:val="22"/>
        </w:rPr>
      </w:pPr>
    </w:p>
    <w:p w14:paraId="247CF93D" w14:textId="77777777" w:rsidR="007D3859" w:rsidRDefault="007D3859" w:rsidP="007D3859">
      <w:pPr>
        <w:rPr>
          <w:rFonts w:cs="Arial"/>
          <w:b/>
          <w:szCs w:val="22"/>
        </w:rPr>
      </w:pPr>
      <w:r w:rsidRPr="002978C6">
        <w:rPr>
          <w:rFonts w:cs="Arial"/>
          <w:b/>
          <w:szCs w:val="22"/>
        </w:rPr>
        <w:t>Proposers must acknowledg</w:t>
      </w:r>
      <w:r>
        <w:rPr>
          <w:rFonts w:cs="Arial"/>
          <w:b/>
          <w:szCs w:val="22"/>
        </w:rPr>
        <w:t xml:space="preserve">e receipt of this Addendum No. 4 </w:t>
      </w:r>
      <w:r w:rsidRPr="002978C6">
        <w:rPr>
          <w:rFonts w:cs="Arial"/>
          <w:b/>
          <w:szCs w:val="22"/>
        </w:rPr>
        <w:t>by providing the required information in th</w:t>
      </w:r>
      <w:r>
        <w:rPr>
          <w:rFonts w:cs="Arial"/>
          <w:b/>
          <w:szCs w:val="22"/>
        </w:rPr>
        <w:t>e box below and including this P</w:t>
      </w:r>
      <w:r w:rsidRPr="002978C6">
        <w:rPr>
          <w:rFonts w:cs="Arial"/>
          <w:b/>
          <w:szCs w:val="22"/>
        </w:rPr>
        <w:t>age 1</w:t>
      </w:r>
      <w:r>
        <w:rPr>
          <w:rFonts w:cs="Arial"/>
          <w:b/>
          <w:szCs w:val="22"/>
        </w:rPr>
        <w:t xml:space="preserve"> in the Tab 1 section of their P</w:t>
      </w:r>
      <w:r w:rsidRPr="002978C6">
        <w:rPr>
          <w:rFonts w:cs="Arial"/>
          <w:b/>
          <w:szCs w:val="22"/>
        </w:rPr>
        <w:t>roposal.</w:t>
      </w:r>
    </w:p>
    <w:p w14:paraId="69725A45" w14:textId="77777777" w:rsidR="007D3859" w:rsidRPr="007A7F10" w:rsidRDefault="007D3859" w:rsidP="007D3859">
      <w:pPr>
        <w:rPr>
          <w:rFonts w:cs="Arial"/>
          <w:sz w:val="16"/>
          <w:szCs w:val="16"/>
        </w:rPr>
      </w:pPr>
    </w:p>
    <w:tbl>
      <w:tblPr>
        <w:tblW w:w="8005"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6157"/>
        <w:gridCol w:w="1848"/>
      </w:tblGrid>
      <w:tr w:rsidR="007D3859" w:rsidRPr="00C2669A" w14:paraId="57E217B0" w14:textId="77777777" w:rsidTr="00A77004">
        <w:trPr>
          <w:trHeight w:hRule="exact" w:val="360"/>
          <w:jc w:val="center"/>
        </w:trPr>
        <w:tc>
          <w:tcPr>
            <w:tcW w:w="6157" w:type="dxa"/>
            <w:tcBorders>
              <w:top w:val="single" w:sz="12" w:space="0" w:color="auto"/>
              <w:left w:val="single" w:sz="12" w:space="0" w:color="auto"/>
            </w:tcBorders>
          </w:tcPr>
          <w:p w14:paraId="62FE0359" w14:textId="77777777" w:rsidR="007D3859" w:rsidRPr="00C2669A" w:rsidRDefault="007D3859" w:rsidP="00A77004">
            <w:pPr>
              <w:spacing w:before="120" w:after="120"/>
              <w:rPr>
                <w:rFonts w:cs="Arial"/>
                <w:szCs w:val="22"/>
              </w:rPr>
            </w:pPr>
          </w:p>
        </w:tc>
        <w:tc>
          <w:tcPr>
            <w:tcW w:w="1848" w:type="dxa"/>
            <w:tcBorders>
              <w:top w:val="single" w:sz="12" w:space="0" w:color="auto"/>
            </w:tcBorders>
          </w:tcPr>
          <w:p w14:paraId="45D357F4" w14:textId="77777777" w:rsidR="007D3859" w:rsidRPr="00C2669A" w:rsidRDefault="007D3859" w:rsidP="00A77004">
            <w:pPr>
              <w:spacing w:before="120" w:after="120"/>
              <w:rPr>
                <w:rFonts w:cs="Arial"/>
                <w:szCs w:val="22"/>
              </w:rPr>
            </w:pPr>
          </w:p>
        </w:tc>
      </w:tr>
      <w:tr w:rsidR="007D3859" w:rsidRPr="00C2669A" w14:paraId="0BB09047" w14:textId="77777777" w:rsidTr="00A77004">
        <w:trPr>
          <w:trHeight w:hRule="exact" w:val="360"/>
          <w:jc w:val="center"/>
        </w:trPr>
        <w:tc>
          <w:tcPr>
            <w:tcW w:w="6157" w:type="dxa"/>
            <w:tcBorders>
              <w:left w:val="single" w:sz="12" w:space="0" w:color="auto"/>
              <w:bottom w:val="single" w:sz="4" w:space="0" w:color="auto"/>
            </w:tcBorders>
          </w:tcPr>
          <w:p w14:paraId="17B391EF" w14:textId="77777777" w:rsidR="007D3859" w:rsidRPr="00C2669A" w:rsidRDefault="007D3859" w:rsidP="00A77004">
            <w:pPr>
              <w:spacing w:before="120" w:after="120"/>
              <w:rPr>
                <w:rFonts w:cs="Arial"/>
                <w:szCs w:val="22"/>
              </w:rPr>
            </w:pPr>
            <w:r>
              <w:rPr>
                <w:rFonts w:cs="Arial"/>
                <w:szCs w:val="22"/>
              </w:rPr>
              <w:t>Proposer’s Company Name:</w:t>
            </w:r>
          </w:p>
        </w:tc>
        <w:tc>
          <w:tcPr>
            <w:tcW w:w="1848" w:type="dxa"/>
            <w:tcBorders>
              <w:bottom w:val="single" w:sz="4" w:space="0" w:color="auto"/>
            </w:tcBorders>
          </w:tcPr>
          <w:p w14:paraId="5EF22CE1" w14:textId="77777777" w:rsidR="007D3859" w:rsidRPr="00C2669A" w:rsidRDefault="007D3859" w:rsidP="00A77004">
            <w:pPr>
              <w:spacing w:before="120" w:after="120"/>
              <w:rPr>
                <w:rFonts w:cs="Arial"/>
                <w:szCs w:val="22"/>
              </w:rPr>
            </w:pPr>
          </w:p>
        </w:tc>
      </w:tr>
      <w:tr w:rsidR="007D3859" w:rsidRPr="00C2669A" w14:paraId="16F2E6CB" w14:textId="77777777" w:rsidTr="00A77004">
        <w:trPr>
          <w:trHeight w:hRule="exact" w:val="360"/>
          <w:jc w:val="center"/>
        </w:trPr>
        <w:tc>
          <w:tcPr>
            <w:tcW w:w="6157" w:type="dxa"/>
            <w:tcBorders>
              <w:top w:val="single" w:sz="4" w:space="0" w:color="auto"/>
              <w:left w:val="single" w:sz="12" w:space="0" w:color="auto"/>
              <w:bottom w:val="nil"/>
            </w:tcBorders>
          </w:tcPr>
          <w:p w14:paraId="0F9BB3C9" w14:textId="77777777" w:rsidR="007D3859" w:rsidRPr="00C2669A" w:rsidRDefault="007D3859" w:rsidP="00A77004">
            <w:pPr>
              <w:spacing w:before="120" w:after="120"/>
              <w:rPr>
                <w:rFonts w:cs="Arial"/>
                <w:szCs w:val="22"/>
              </w:rPr>
            </w:pPr>
          </w:p>
        </w:tc>
        <w:tc>
          <w:tcPr>
            <w:tcW w:w="1848" w:type="dxa"/>
            <w:tcBorders>
              <w:top w:val="single" w:sz="4" w:space="0" w:color="auto"/>
              <w:bottom w:val="nil"/>
            </w:tcBorders>
          </w:tcPr>
          <w:p w14:paraId="634CDE24" w14:textId="77777777" w:rsidR="007D3859" w:rsidRPr="00C2669A" w:rsidRDefault="007D3859" w:rsidP="00A77004">
            <w:pPr>
              <w:spacing w:before="120" w:after="120"/>
              <w:rPr>
                <w:rFonts w:cs="Arial"/>
                <w:szCs w:val="22"/>
              </w:rPr>
            </w:pPr>
          </w:p>
        </w:tc>
      </w:tr>
      <w:tr w:rsidR="007D3859" w:rsidRPr="00C2669A" w14:paraId="0FE8216A" w14:textId="77777777" w:rsidTr="00A77004">
        <w:trPr>
          <w:trHeight w:hRule="exact" w:val="360"/>
          <w:jc w:val="center"/>
        </w:trPr>
        <w:tc>
          <w:tcPr>
            <w:tcW w:w="6157" w:type="dxa"/>
            <w:tcBorders>
              <w:left w:val="single" w:sz="12" w:space="0" w:color="auto"/>
              <w:bottom w:val="single" w:sz="4" w:space="0" w:color="auto"/>
            </w:tcBorders>
          </w:tcPr>
          <w:p w14:paraId="7F8CB9CE" w14:textId="77777777" w:rsidR="007D3859" w:rsidRPr="00C2669A" w:rsidRDefault="007D3859" w:rsidP="00A77004">
            <w:pPr>
              <w:spacing w:before="120" w:after="120"/>
              <w:rPr>
                <w:rFonts w:cs="Arial"/>
                <w:szCs w:val="22"/>
              </w:rPr>
            </w:pPr>
            <w:r w:rsidRPr="00C2669A">
              <w:rPr>
                <w:rFonts w:cs="Arial"/>
                <w:szCs w:val="22"/>
              </w:rPr>
              <w:t xml:space="preserve">Authorized </w:t>
            </w:r>
            <w:r>
              <w:rPr>
                <w:rFonts w:cs="Arial"/>
                <w:szCs w:val="22"/>
              </w:rPr>
              <w:t xml:space="preserve">Person (Printed </w:t>
            </w:r>
            <w:r w:rsidRPr="00C2669A">
              <w:rPr>
                <w:rFonts w:cs="Arial"/>
                <w:szCs w:val="22"/>
              </w:rPr>
              <w:t>Name</w:t>
            </w:r>
            <w:r>
              <w:rPr>
                <w:rFonts w:cs="Arial"/>
                <w:szCs w:val="22"/>
              </w:rPr>
              <w:t xml:space="preserve"> and Title):</w:t>
            </w:r>
          </w:p>
        </w:tc>
        <w:tc>
          <w:tcPr>
            <w:tcW w:w="1848" w:type="dxa"/>
            <w:tcBorders>
              <w:bottom w:val="single" w:sz="4" w:space="0" w:color="auto"/>
            </w:tcBorders>
          </w:tcPr>
          <w:p w14:paraId="54C11FA7" w14:textId="77777777" w:rsidR="007D3859" w:rsidRPr="00C2669A" w:rsidRDefault="007D3859" w:rsidP="00A77004">
            <w:pPr>
              <w:spacing w:before="120" w:after="120"/>
              <w:rPr>
                <w:rFonts w:cs="Arial"/>
                <w:szCs w:val="22"/>
              </w:rPr>
            </w:pPr>
          </w:p>
        </w:tc>
      </w:tr>
      <w:tr w:rsidR="007D3859" w:rsidRPr="00C2669A" w14:paraId="0140B777" w14:textId="77777777" w:rsidTr="00A77004">
        <w:trPr>
          <w:trHeight w:hRule="exact" w:val="360"/>
          <w:jc w:val="center"/>
        </w:trPr>
        <w:tc>
          <w:tcPr>
            <w:tcW w:w="6157" w:type="dxa"/>
            <w:tcBorders>
              <w:top w:val="single" w:sz="4" w:space="0" w:color="auto"/>
              <w:left w:val="single" w:sz="12" w:space="0" w:color="auto"/>
              <w:bottom w:val="nil"/>
            </w:tcBorders>
          </w:tcPr>
          <w:p w14:paraId="57568785" w14:textId="77777777" w:rsidR="007D3859" w:rsidRPr="00C2669A" w:rsidRDefault="007D3859" w:rsidP="00A77004">
            <w:pPr>
              <w:spacing w:before="120" w:after="120"/>
              <w:rPr>
                <w:rFonts w:cs="Arial"/>
                <w:szCs w:val="22"/>
              </w:rPr>
            </w:pPr>
          </w:p>
        </w:tc>
        <w:tc>
          <w:tcPr>
            <w:tcW w:w="1848" w:type="dxa"/>
            <w:tcBorders>
              <w:top w:val="single" w:sz="4" w:space="0" w:color="auto"/>
              <w:bottom w:val="nil"/>
            </w:tcBorders>
          </w:tcPr>
          <w:p w14:paraId="2D99D302" w14:textId="77777777" w:rsidR="007D3859" w:rsidRPr="00C2669A" w:rsidRDefault="007D3859" w:rsidP="00A77004">
            <w:pPr>
              <w:spacing w:before="120" w:after="120"/>
              <w:rPr>
                <w:rFonts w:cs="Arial"/>
                <w:szCs w:val="22"/>
              </w:rPr>
            </w:pPr>
          </w:p>
        </w:tc>
      </w:tr>
      <w:tr w:rsidR="007D3859" w:rsidRPr="00C2669A" w14:paraId="6A9D271E" w14:textId="77777777" w:rsidTr="00A77004">
        <w:trPr>
          <w:trHeight w:hRule="exact" w:val="360"/>
          <w:jc w:val="center"/>
        </w:trPr>
        <w:tc>
          <w:tcPr>
            <w:tcW w:w="6157" w:type="dxa"/>
            <w:tcBorders>
              <w:left w:val="single" w:sz="12" w:space="0" w:color="auto"/>
              <w:bottom w:val="single" w:sz="4" w:space="0" w:color="auto"/>
            </w:tcBorders>
          </w:tcPr>
          <w:p w14:paraId="2ACB0B80" w14:textId="77777777" w:rsidR="007D3859" w:rsidRPr="00C2669A" w:rsidRDefault="007D3859" w:rsidP="00A77004">
            <w:pPr>
              <w:spacing w:before="120" w:after="120"/>
              <w:rPr>
                <w:rFonts w:cs="Arial"/>
                <w:szCs w:val="22"/>
              </w:rPr>
            </w:pPr>
            <w:r w:rsidRPr="00C2669A">
              <w:rPr>
                <w:rFonts w:cs="Arial"/>
                <w:szCs w:val="22"/>
              </w:rPr>
              <w:t xml:space="preserve">Authorized </w:t>
            </w:r>
            <w:r>
              <w:rPr>
                <w:rFonts w:cs="Arial"/>
                <w:szCs w:val="22"/>
              </w:rPr>
              <w:t xml:space="preserve">Person’s </w:t>
            </w:r>
            <w:r w:rsidRPr="00C2669A">
              <w:rPr>
                <w:rFonts w:cs="Arial"/>
                <w:szCs w:val="22"/>
              </w:rPr>
              <w:t>Signature</w:t>
            </w:r>
            <w:r>
              <w:rPr>
                <w:rFonts w:cs="Arial"/>
                <w:szCs w:val="22"/>
              </w:rPr>
              <w:t>:</w:t>
            </w:r>
          </w:p>
        </w:tc>
        <w:tc>
          <w:tcPr>
            <w:tcW w:w="1848" w:type="dxa"/>
            <w:tcBorders>
              <w:bottom w:val="single" w:sz="4" w:space="0" w:color="auto"/>
            </w:tcBorders>
          </w:tcPr>
          <w:p w14:paraId="4A84FAFA" w14:textId="77777777" w:rsidR="007D3859" w:rsidRPr="00C2669A" w:rsidRDefault="007D3859" w:rsidP="00A77004">
            <w:pPr>
              <w:spacing w:before="120" w:after="120"/>
              <w:rPr>
                <w:rFonts w:cs="Arial"/>
                <w:szCs w:val="22"/>
              </w:rPr>
            </w:pPr>
          </w:p>
        </w:tc>
      </w:tr>
      <w:tr w:rsidR="007D3859" w:rsidRPr="00C2669A" w14:paraId="66FDC9E9" w14:textId="77777777" w:rsidTr="00A77004">
        <w:trPr>
          <w:jc w:val="center"/>
        </w:trPr>
        <w:tc>
          <w:tcPr>
            <w:tcW w:w="6157" w:type="dxa"/>
            <w:tcBorders>
              <w:top w:val="single" w:sz="4" w:space="0" w:color="auto"/>
              <w:left w:val="single" w:sz="12" w:space="0" w:color="auto"/>
              <w:bottom w:val="single" w:sz="12" w:space="0" w:color="auto"/>
            </w:tcBorders>
          </w:tcPr>
          <w:p w14:paraId="29F28769" w14:textId="77777777" w:rsidR="007D3859" w:rsidRPr="00C2669A" w:rsidRDefault="007D3859" w:rsidP="00A77004">
            <w:pPr>
              <w:spacing w:before="120" w:after="120"/>
              <w:rPr>
                <w:rFonts w:cs="Arial"/>
                <w:szCs w:val="22"/>
              </w:rPr>
            </w:pPr>
          </w:p>
        </w:tc>
        <w:tc>
          <w:tcPr>
            <w:tcW w:w="1848" w:type="dxa"/>
            <w:tcBorders>
              <w:top w:val="single" w:sz="4" w:space="0" w:color="auto"/>
              <w:bottom w:val="single" w:sz="12" w:space="0" w:color="auto"/>
            </w:tcBorders>
          </w:tcPr>
          <w:p w14:paraId="584194FE" w14:textId="77777777" w:rsidR="007D3859" w:rsidRPr="00C2669A" w:rsidRDefault="007D3859" w:rsidP="00A77004">
            <w:pPr>
              <w:spacing w:before="120" w:after="120"/>
              <w:rPr>
                <w:rFonts w:cs="Arial"/>
                <w:szCs w:val="22"/>
              </w:rPr>
            </w:pPr>
            <w:r>
              <w:rPr>
                <w:rFonts w:cs="Arial"/>
                <w:szCs w:val="22"/>
              </w:rPr>
              <w:t>Date</w:t>
            </w:r>
          </w:p>
        </w:tc>
      </w:tr>
    </w:tbl>
    <w:p w14:paraId="3137D03A" w14:textId="77777777" w:rsidR="007D3859" w:rsidRDefault="007D3859" w:rsidP="007D3859">
      <w:pPr>
        <w:rPr>
          <w:rFonts w:cs="Arial"/>
          <w:b/>
          <w:szCs w:val="22"/>
        </w:rPr>
      </w:pPr>
    </w:p>
    <w:p w14:paraId="09F3EF0B" w14:textId="77777777" w:rsidR="009A39CA" w:rsidRPr="009A39CA" w:rsidRDefault="009A39CA" w:rsidP="009A39CA">
      <w:pPr>
        <w:rPr>
          <w:rFonts w:eastAsia="Calibri" w:cs="Arial"/>
          <w:b/>
          <w:bCs/>
          <w:szCs w:val="22"/>
          <w:highlight w:val="yellow"/>
        </w:rPr>
      </w:pPr>
      <w:bookmarkStart w:id="2" w:name="_Hlk38292475"/>
      <w:r w:rsidRPr="009A39CA">
        <w:rPr>
          <w:rFonts w:eastAsia="Calibri" w:cs="Arial"/>
          <w:b/>
          <w:bCs/>
          <w:szCs w:val="22"/>
          <w:highlight w:val="yellow"/>
        </w:rPr>
        <w:t xml:space="preserve">REMINDER: Appendix 11 – SFTP Access Request Form is DUE THIS FRIDAY, APRIL 24, 2020. </w:t>
      </w:r>
    </w:p>
    <w:p w14:paraId="6E2620EE" w14:textId="77777777" w:rsidR="009A39CA" w:rsidRPr="009A39CA" w:rsidRDefault="009A39CA" w:rsidP="009A39CA">
      <w:pPr>
        <w:rPr>
          <w:rFonts w:eastAsia="Calibri" w:cs="Arial"/>
          <w:b/>
          <w:bCs/>
          <w:szCs w:val="22"/>
          <w:highlight w:val="yellow"/>
        </w:rPr>
      </w:pPr>
      <w:r w:rsidRPr="009A39CA">
        <w:rPr>
          <w:rFonts w:eastAsia="Calibri" w:cs="Arial"/>
          <w:b/>
          <w:bCs/>
          <w:szCs w:val="22"/>
          <w:highlight w:val="yellow"/>
        </w:rPr>
        <w:t xml:space="preserve">Please fill out and email Appendix 11 to </w:t>
      </w:r>
      <w:hyperlink r:id="rId13" w:history="1">
        <w:r w:rsidRPr="009A39CA">
          <w:rPr>
            <w:rFonts w:eastAsia="Calibri" w:cs="Arial"/>
            <w:b/>
            <w:bCs/>
            <w:color w:val="0563C1"/>
            <w:szCs w:val="22"/>
            <w:highlight w:val="yellow"/>
            <w:u w:val="single"/>
          </w:rPr>
          <w:t>ETFSMBProcurement@etf.wi.gov</w:t>
        </w:r>
      </w:hyperlink>
      <w:r w:rsidRPr="009A39CA">
        <w:rPr>
          <w:rFonts w:eastAsia="Calibri" w:cs="Arial"/>
          <w:b/>
          <w:bCs/>
          <w:szCs w:val="22"/>
          <w:highlight w:val="yellow"/>
        </w:rPr>
        <w:t xml:space="preserve">  </w:t>
      </w:r>
    </w:p>
    <w:p w14:paraId="47CA438B" w14:textId="77777777" w:rsidR="009A39CA" w:rsidRPr="009A39CA" w:rsidRDefault="009A39CA" w:rsidP="009A39CA">
      <w:pPr>
        <w:rPr>
          <w:rFonts w:eastAsia="Calibri" w:cs="Arial"/>
          <w:b/>
          <w:bCs/>
          <w:szCs w:val="22"/>
          <w:highlight w:val="yellow"/>
        </w:rPr>
      </w:pPr>
      <w:r w:rsidRPr="009A39CA">
        <w:rPr>
          <w:rFonts w:eastAsia="Calibri" w:cs="Arial"/>
          <w:b/>
          <w:bCs/>
          <w:szCs w:val="22"/>
          <w:highlight w:val="yellow"/>
        </w:rPr>
        <w:t xml:space="preserve">After receipt of Appendix 11, ETF will provide SFTP instructions, Logon ID, and a temporary password to enable vendors to electronically submit their proposal.  </w:t>
      </w:r>
    </w:p>
    <w:p w14:paraId="3F1D6040" w14:textId="77777777" w:rsidR="006A04F1" w:rsidRDefault="009A39CA" w:rsidP="009A39CA">
      <w:pPr>
        <w:rPr>
          <w:rFonts w:eastAsia="Calibri" w:cs="Arial"/>
          <w:b/>
          <w:bCs/>
          <w:szCs w:val="22"/>
          <w:highlight w:val="yellow"/>
        </w:rPr>
      </w:pPr>
      <w:r w:rsidRPr="009A39CA">
        <w:rPr>
          <w:rFonts w:eastAsia="Calibri" w:cs="Arial"/>
          <w:b/>
          <w:bCs/>
          <w:szCs w:val="22"/>
          <w:highlight w:val="yellow"/>
        </w:rPr>
        <w:t>ONLY electronic submission of proposals will be accepted</w:t>
      </w:r>
      <w:r w:rsidR="006A04F1">
        <w:rPr>
          <w:rFonts w:eastAsia="Calibri" w:cs="Arial"/>
          <w:b/>
          <w:bCs/>
          <w:szCs w:val="22"/>
          <w:highlight w:val="yellow"/>
        </w:rPr>
        <w:t xml:space="preserve">. </w:t>
      </w:r>
    </w:p>
    <w:p w14:paraId="358E19B7" w14:textId="3F9E833C" w:rsidR="009A39CA" w:rsidRPr="009A39CA" w:rsidRDefault="006A04F1" w:rsidP="009A39CA">
      <w:pPr>
        <w:rPr>
          <w:rFonts w:eastAsia="Calibri" w:cs="Arial"/>
          <w:b/>
          <w:bCs/>
          <w:szCs w:val="22"/>
        </w:rPr>
      </w:pPr>
      <w:r>
        <w:rPr>
          <w:rFonts w:eastAsia="Calibri" w:cs="Arial"/>
          <w:b/>
          <w:bCs/>
          <w:szCs w:val="22"/>
          <w:highlight w:val="yellow"/>
        </w:rPr>
        <w:t>Proposals must be uploaded t</w:t>
      </w:r>
      <w:r w:rsidR="009A39CA" w:rsidRPr="009A39CA">
        <w:rPr>
          <w:rFonts w:eastAsia="Calibri" w:cs="Arial"/>
          <w:b/>
          <w:bCs/>
          <w:szCs w:val="22"/>
          <w:highlight w:val="yellow"/>
        </w:rPr>
        <w:t>o ETF’s SFTP site before 2:00 PM CDT on May 13, 2020.</w:t>
      </w:r>
    </w:p>
    <w:bookmarkEnd w:id="2"/>
    <w:p w14:paraId="453C2014" w14:textId="46D2404E" w:rsidR="007D3859" w:rsidRDefault="007D3859" w:rsidP="007D3859">
      <w:pPr>
        <w:rPr>
          <w:rFonts w:cs="Arial"/>
          <w:szCs w:val="22"/>
        </w:rPr>
      </w:pPr>
      <w:r>
        <w:rPr>
          <w:rFonts w:cs="Arial"/>
          <w:szCs w:val="22"/>
        </w:rPr>
        <w:lastRenderedPageBreak/>
        <w:t>Please note the following updates to RFP ETI0050:</w:t>
      </w:r>
    </w:p>
    <w:p w14:paraId="2EA78565" w14:textId="77777777" w:rsidR="007D3859" w:rsidRDefault="007D3859" w:rsidP="007D3859">
      <w:pPr>
        <w:rPr>
          <w:rFonts w:cs="Arial"/>
          <w:szCs w:val="22"/>
        </w:rPr>
      </w:pPr>
    </w:p>
    <w:p w14:paraId="6BB53D45" w14:textId="77777777" w:rsidR="007D3859" w:rsidRPr="00F27555" w:rsidRDefault="007D3859" w:rsidP="007D3859">
      <w:pPr>
        <w:pStyle w:val="ListParagraph"/>
        <w:numPr>
          <w:ilvl w:val="0"/>
          <w:numId w:val="8"/>
        </w:numPr>
        <w:ind w:left="360"/>
        <w:jc w:val="both"/>
        <w:rPr>
          <w:rFonts w:cs="Arial"/>
          <w:szCs w:val="22"/>
        </w:rPr>
      </w:pPr>
      <w:r w:rsidRPr="000D7356">
        <w:rPr>
          <w:rFonts w:cs="Arial"/>
          <w:b/>
          <w:bCs/>
          <w:szCs w:val="22"/>
          <w:u w:val="single"/>
        </w:rPr>
        <w:t>Add</w:t>
      </w:r>
      <w:r>
        <w:rPr>
          <w:rFonts w:cs="Arial"/>
          <w:szCs w:val="22"/>
        </w:rPr>
        <w:t xml:space="preserve"> to the RFP the following questions regarding RFP ETI0050 from Proposers and answers from the Department.</w:t>
      </w:r>
    </w:p>
    <w:p w14:paraId="22FC6825" w14:textId="77777777" w:rsidR="007D3859" w:rsidRDefault="007D3859" w:rsidP="007D3859">
      <w:pPr>
        <w:rPr>
          <w:rFonts w:cs="Arial"/>
          <w:szCs w:val="22"/>
        </w:rPr>
      </w:pPr>
    </w:p>
    <w:p w14:paraId="14E39D7C" w14:textId="722117D7" w:rsidR="004629F5" w:rsidRDefault="007D3859" w:rsidP="004C7A44">
      <w:pPr>
        <w:rPr>
          <w:rFonts w:ascii="Calibri Light" w:eastAsia="Verdana" w:hAnsi="Calibri Light" w:cs="Verdana"/>
          <w:b/>
          <w:bCs/>
          <w:sz w:val="28"/>
          <w:szCs w:val="28"/>
        </w:rPr>
      </w:pPr>
      <w:r>
        <w:rPr>
          <w:rFonts w:cs="Arial"/>
          <w:szCs w:val="22"/>
        </w:rPr>
        <w:t xml:space="preserve">Vendor Q&amp;A </w:t>
      </w:r>
    </w:p>
    <w:p w14:paraId="19853DBF" w14:textId="77777777" w:rsidR="00CC4722" w:rsidRPr="007B1A00" w:rsidRDefault="00CC4722" w:rsidP="00F61E1E">
      <w:pPr>
        <w:widowControl w:val="0"/>
        <w:autoSpaceDE w:val="0"/>
        <w:autoSpaceDN w:val="0"/>
        <w:spacing w:after="120"/>
        <w:contextualSpacing/>
        <w:jc w:val="right"/>
        <w:rPr>
          <w:rFonts w:ascii="Calibri Light" w:eastAsia="Verdana" w:hAnsi="Calibri Light" w:cs="Verdana"/>
          <w:sz w:val="20"/>
        </w:rPr>
      </w:pPr>
    </w:p>
    <w:tbl>
      <w:tblPr>
        <w:tblW w:w="13050" w:type="dxa"/>
        <w:tblBorders>
          <w:top w:val="single" w:sz="4" w:space="0" w:color="FFFFFF"/>
          <w:insideH w:val="single" w:sz="4" w:space="0" w:color="E7E6E6"/>
          <w:insideV w:val="single" w:sz="4" w:space="0" w:color="E7E6E6"/>
        </w:tblBorders>
        <w:tblLayout w:type="fixed"/>
        <w:tblLook w:val="04A0" w:firstRow="1" w:lastRow="0" w:firstColumn="1" w:lastColumn="0" w:noHBand="0" w:noVBand="1"/>
      </w:tblPr>
      <w:tblGrid>
        <w:gridCol w:w="720"/>
        <w:gridCol w:w="1710"/>
        <w:gridCol w:w="1710"/>
        <w:gridCol w:w="3420"/>
        <w:gridCol w:w="5490"/>
      </w:tblGrid>
      <w:tr w:rsidR="004436D3" w:rsidRPr="007B1A00" w14:paraId="562E073A" w14:textId="77777777" w:rsidTr="00AC3150">
        <w:trPr>
          <w:tblHeader/>
        </w:trPr>
        <w:tc>
          <w:tcPr>
            <w:tcW w:w="720" w:type="dxa"/>
            <w:shd w:val="clear" w:color="auto" w:fill="1F497D"/>
          </w:tcPr>
          <w:p w14:paraId="09FFC421" w14:textId="77777777" w:rsidR="004436D3" w:rsidRPr="007B1A00" w:rsidRDefault="004436D3" w:rsidP="00F61E1E">
            <w:pPr>
              <w:spacing w:before="120" w:after="120"/>
              <w:rPr>
                <w:rFonts w:cs="Arial"/>
                <w:color w:val="FFFFFF" w:themeColor="background1"/>
                <w:sz w:val="20"/>
              </w:rPr>
            </w:pPr>
            <w:bookmarkStart w:id="3" w:name="_Hlk35285035"/>
            <w:r w:rsidRPr="007B1A00">
              <w:rPr>
                <w:rFonts w:cs="Arial"/>
                <w:color w:val="FFFFFF" w:themeColor="background1"/>
                <w:sz w:val="20"/>
              </w:rPr>
              <w:t>Q #</w:t>
            </w:r>
          </w:p>
        </w:tc>
        <w:tc>
          <w:tcPr>
            <w:tcW w:w="1710" w:type="dxa"/>
            <w:shd w:val="clear" w:color="auto" w:fill="1F497D"/>
          </w:tcPr>
          <w:p w14:paraId="3413D412" w14:textId="77777777" w:rsidR="004436D3" w:rsidRPr="007B1A00" w:rsidRDefault="004436D3" w:rsidP="00F61E1E">
            <w:pPr>
              <w:spacing w:before="120" w:after="120"/>
              <w:rPr>
                <w:rFonts w:cs="Arial"/>
                <w:color w:val="FFFFFF" w:themeColor="background1"/>
                <w:sz w:val="20"/>
              </w:rPr>
            </w:pPr>
            <w:r w:rsidRPr="007B1A00">
              <w:rPr>
                <w:rFonts w:cs="Arial"/>
                <w:color w:val="FFFFFF" w:themeColor="background1"/>
                <w:sz w:val="20"/>
              </w:rPr>
              <w:t>RFP Section</w:t>
            </w:r>
          </w:p>
        </w:tc>
        <w:tc>
          <w:tcPr>
            <w:tcW w:w="1710" w:type="dxa"/>
            <w:shd w:val="clear" w:color="auto" w:fill="1F497D"/>
          </w:tcPr>
          <w:p w14:paraId="77BB8536" w14:textId="77777777" w:rsidR="004436D3" w:rsidRPr="007B1A00" w:rsidRDefault="004436D3" w:rsidP="00F61E1E">
            <w:pPr>
              <w:spacing w:before="120" w:after="120"/>
              <w:rPr>
                <w:rFonts w:cs="Arial"/>
                <w:color w:val="FFFFFF" w:themeColor="background1"/>
                <w:sz w:val="20"/>
              </w:rPr>
            </w:pPr>
            <w:r w:rsidRPr="007B1A00">
              <w:rPr>
                <w:rFonts w:cs="Arial"/>
                <w:color w:val="FFFFFF" w:themeColor="background1"/>
                <w:sz w:val="20"/>
              </w:rPr>
              <w:t>RFP Page</w:t>
            </w:r>
          </w:p>
        </w:tc>
        <w:tc>
          <w:tcPr>
            <w:tcW w:w="3420" w:type="dxa"/>
            <w:shd w:val="clear" w:color="auto" w:fill="1F497D"/>
          </w:tcPr>
          <w:p w14:paraId="6FF25E2D" w14:textId="77777777" w:rsidR="004436D3" w:rsidRPr="007B1A00" w:rsidRDefault="004436D3" w:rsidP="00F61E1E">
            <w:pPr>
              <w:spacing w:before="120" w:after="120"/>
              <w:rPr>
                <w:rFonts w:cs="Arial"/>
                <w:color w:val="FFFFFF" w:themeColor="background1"/>
                <w:sz w:val="20"/>
              </w:rPr>
            </w:pPr>
            <w:r w:rsidRPr="007B1A00">
              <w:rPr>
                <w:rFonts w:cs="Arial"/>
                <w:color w:val="FFFFFF" w:themeColor="background1"/>
                <w:sz w:val="20"/>
              </w:rPr>
              <w:t>Question/Rationale</w:t>
            </w:r>
          </w:p>
        </w:tc>
        <w:tc>
          <w:tcPr>
            <w:tcW w:w="5490" w:type="dxa"/>
            <w:shd w:val="clear" w:color="auto" w:fill="1F497D"/>
          </w:tcPr>
          <w:p w14:paraId="4013E467" w14:textId="41403C13" w:rsidR="004436D3" w:rsidRPr="007B1A00" w:rsidRDefault="004436D3" w:rsidP="00F61E1E">
            <w:pPr>
              <w:spacing w:before="120" w:after="120"/>
              <w:rPr>
                <w:rFonts w:cs="Arial"/>
                <w:color w:val="FFFFFF" w:themeColor="background1"/>
                <w:sz w:val="20"/>
              </w:rPr>
            </w:pPr>
            <w:r w:rsidRPr="007B1A00">
              <w:rPr>
                <w:rFonts w:cs="Arial"/>
                <w:color w:val="FFFFFF" w:themeColor="background1"/>
                <w:sz w:val="20"/>
              </w:rPr>
              <w:t>Department Answer</w:t>
            </w:r>
          </w:p>
        </w:tc>
      </w:tr>
      <w:bookmarkEnd w:id="3"/>
      <w:tr w:rsidR="00AD4383" w:rsidRPr="0033338A" w14:paraId="3C495994" w14:textId="77777777" w:rsidTr="00520510">
        <w:tc>
          <w:tcPr>
            <w:tcW w:w="720" w:type="dxa"/>
            <w:shd w:val="clear" w:color="auto" w:fill="EEECE1" w:themeFill="background2"/>
          </w:tcPr>
          <w:p w14:paraId="3ED824AC" w14:textId="33017C95" w:rsidR="00AD4383" w:rsidRPr="00CE09D9" w:rsidRDefault="00AD4383" w:rsidP="00AD4383">
            <w:pPr>
              <w:spacing w:before="120" w:after="120"/>
              <w:jc w:val="both"/>
              <w:rPr>
                <w:rFonts w:cs="Arial"/>
                <w:szCs w:val="22"/>
              </w:rPr>
            </w:pPr>
            <w:r w:rsidRPr="00CE09D9">
              <w:rPr>
                <w:rFonts w:cs="Arial"/>
                <w:color w:val="000000" w:themeColor="text1"/>
                <w:szCs w:val="22"/>
              </w:rPr>
              <w:t>Q1</w:t>
            </w:r>
          </w:p>
        </w:tc>
        <w:tc>
          <w:tcPr>
            <w:tcW w:w="1710" w:type="dxa"/>
            <w:shd w:val="clear" w:color="auto" w:fill="EEECE1" w:themeFill="background2"/>
          </w:tcPr>
          <w:p w14:paraId="0503A3D8" w14:textId="5B152F40" w:rsidR="00AD4383" w:rsidRPr="00CE09D9" w:rsidRDefault="00AD4383" w:rsidP="00AD4383">
            <w:pPr>
              <w:spacing w:before="120" w:after="120"/>
              <w:jc w:val="both"/>
              <w:rPr>
                <w:rFonts w:cs="Arial"/>
                <w:szCs w:val="22"/>
              </w:rPr>
            </w:pPr>
          </w:p>
        </w:tc>
        <w:tc>
          <w:tcPr>
            <w:tcW w:w="1710" w:type="dxa"/>
            <w:shd w:val="clear" w:color="auto" w:fill="EEECE1" w:themeFill="background2"/>
          </w:tcPr>
          <w:p w14:paraId="03FE023B" w14:textId="77777777" w:rsidR="00AD4383" w:rsidRPr="00CE09D9" w:rsidRDefault="00AD4383" w:rsidP="00AD4383">
            <w:pPr>
              <w:spacing w:before="120" w:after="120"/>
              <w:jc w:val="both"/>
              <w:rPr>
                <w:rFonts w:cs="Arial"/>
                <w:color w:val="000000" w:themeColor="text1"/>
                <w:szCs w:val="22"/>
              </w:rPr>
            </w:pPr>
            <w:r w:rsidRPr="00CE09D9">
              <w:rPr>
                <w:rFonts w:cs="Arial"/>
                <w:color w:val="000000" w:themeColor="text1"/>
                <w:szCs w:val="22"/>
              </w:rPr>
              <w:t>5 of 33</w:t>
            </w:r>
          </w:p>
          <w:p w14:paraId="77B14246" w14:textId="42A85073" w:rsidR="00AD4383" w:rsidRPr="00CE09D9" w:rsidRDefault="00AD4383" w:rsidP="00AD4383">
            <w:pPr>
              <w:spacing w:before="120" w:after="120"/>
              <w:jc w:val="both"/>
              <w:rPr>
                <w:rFonts w:cs="Arial"/>
                <w:szCs w:val="22"/>
              </w:rPr>
            </w:pPr>
            <w:r w:rsidRPr="00CE09D9">
              <w:rPr>
                <w:rFonts w:cs="Arial"/>
                <w:color w:val="000000" w:themeColor="text1"/>
                <w:szCs w:val="22"/>
              </w:rPr>
              <w:t xml:space="preserve">Regarding Q39 </w:t>
            </w:r>
          </w:p>
        </w:tc>
        <w:tc>
          <w:tcPr>
            <w:tcW w:w="3420" w:type="dxa"/>
            <w:shd w:val="clear" w:color="auto" w:fill="EEECE1" w:themeFill="background2"/>
          </w:tcPr>
          <w:p w14:paraId="7F91B626" w14:textId="34055FFA" w:rsidR="00AD4383" w:rsidRPr="00CE09D9" w:rsidRDefault="00AD4383" w:rsidP="00AD4383">
            <w:pPr>
              <w:spacing w:before="120" w:after="120"/>
              <w:rPr>
                <w:rFonts w:cs="Arial"/>
                <w:szCs w:val="22"/>
              </w:rPr>
            </w:pPr>
            <w:r w:rsidRPr="00CE09D9">
              <w:rPr>
                <w:rFonts w:cs="Arial"/>
                <w:color w:val="000000" w:themeColor="text1"/>
                <w:szCs w:val="22"/>
              </w:rPr>
              <w:t>In your responses you stated as of 12/31/19 there were 262,932 WRS covered employees plus the approximately 800-900 non WRS employers. We also know only 110,237 employees are currently enrolled in health insurance. For a vendor who prices off of a subscription model what number of employees should we use when providing pricing?</w:t>
            </w:r>
          </w:p>
        </w:tc>
        <w:tc>
          <w:tcPr>
            <w:tcW w:w="5490" w:type="dxa"/>
            <w:shd w:val="clear" w:color="auto" w:fill="EEECE1" w:themeFill="background2"/>
          </w:tcPr>
          <w:p w14:paraId="2A8D5254" w14:textId="49D5E405" w:rsidR="00AD4383" w:rsidRPr="00CE09D9" w:rsidRDefault="003B094F" w:rsidP="00AD4383">
            <w:pPr>
              <w:spacing w:before="120" w:after="120"/>
              <w:rPr>
                <w:rFonts w:cs="Arial"/>
                <w:szCs w:val="22"/>
              </w:rPr>
            </w:pPr>
            <w:r w:rsidRPr="00CE09D9">
              <w:rPr>
                <w:rFonts w:cs="Arial"/>
                <w:szCs w:val="22"/>
              </w:rPr>
              <w:t xml:space="preserve">Although there are only 110,237 employees currently enrolled in health insurance, that is not the </w:t>
            </w:r>
            <w:r w:rsidR="00522CD9" w:rsidRPr="00CE09D9">
              <w:rPr>
                <w:rFonts w:cs="Arial"/>
                <w:szCs w:val="22"/>
              </w:rPr>
              <w:t xml:space="preserve">only group of employees within the scope of this RFP. The response to question Q39 from the first round of vendor questions provides extensive detail regarding the true count of eligible employees – those who might ever potentially log into the new IAS. The Proposer’s system needs to accommodate </w:t>
            </w:r>
            <w:r w:rsidR="005A28A3" w:rsidRPr="00CE09D9">
              <w:rPr>
                <w:rFonts w:cs="Arial"/>
                <w:szCs w:val="22"/>
              </w:rPr>
              <w:t xml:space="preserve">enrollment administration for all eligible employees, both those currently enrolled and those who may choose to enroll in the future. </w:t>
            </w:r>
          </w:p>
          <w:p w14:paraId="3AC63BF1" w14:textId="158B9328" w:rsidR="002548E2" w:rsidRPr="00CE09D9" w:rsidRDefault="005A28A3" w:rsidP="005A28A3">
            <w:pPr>
              <w:spacing w:before="120" w:after="120"/>
              <w:rPr>
                <w:rFonts w:cs="Arial"/>
                <w:szCs w:val="22"/>
              </w:rPr>
            </w:pPr>
            <w:r w:rsidRPr="00CE09D9">
              <w:rPr>
                <w:rFonts w:cs="Arial"/>
                <w:szCs w:val="22"/>
              </w:rPr>
              <w:t>We understand that some Proposers may base their pricing on enrolled members only, so that even though the</w:t>
            </w:r>
            <w:r w:rsidR="00C51218" w:rsidRPr="00CE09D9">
              <w:rPr>
                <w:rFonts w:cs="Arial"/>
                <w:szCs w:val="22"/>
              </w:rPr>
              <w:t>ir</w:t>
            </w:r>
            <w:r w:rsidRPr="00CE09D9">
              <w:rPr>
                <w:rFonts w:cs="Arial"/>
                <w:szCs w:val="22"/>
              </w:rPr>
              <w:t xml:space="preserve"> system </w:t>
            </w:r>
            <w:r w:rsidR="00C51218" w:rsidRPr="00CE09D9">
              <w:rPr>
                <w:rFonts w:cs="Arial"/>
                <w:szCs w:val="22"/>
              </w:rPr>
              <w:t xml:space="preserve">can accommodate enrollment administration for all eligible employees, including those who delay enrollment until some point in the future, subscription costs for such members will not begin until they actually enroll. </w:t>
            </w:r>
            <w:r w:rsidR="002548E2" w:rsidRPr="00CE09D9">
              <w:rPr>
                <w:rFonts w:cs="Arial"/>
                <w:szCs w:val="22"/>
              </w:rPr>
              <w:t>Consequently, we understand why Proposers are interested in knowing a full count of unique enrollments, where a</w:t>
            </w:r>
            <w:r w:rsidR="0033338A" w:rsidRPr="00CE09D9">
              <w:rPr>
                <w:rFonts w:cs="Arial"/>
                <w:szCs w:val="22"/>
              </w:rPr>
              <w:t>n enrolled</w:t>
            </w:r>
            <w:r w:rsidR="002548E2" w:rsidRPr="00CE09D9">
              <w:rPr>
                <w:rFonts w:cs="Arial"/>
                <w:szCs w:val="22"/>
              </w:rPr>
              <w:t xml:space="preserve"> member is only counted once, regardless of whether he or she is enrolled in a single or multiple benefit programs. </w:t>
            </w:r>
          </w:p>
          <w:p w14:paraId="60B9CDA7" w14:textId="262BF5D7" w:rsidR="00522CD9" w:rsidRPr="00CE09D9" w:rsidRDefault="002548E2" w:rsidP="005A28A3">
            <w:pPr>
              <w:spacing w:before="120" w:after="120"/>
              <w:rPr>
                <w:rFonts w:cs="Arial"/>
                <w:szCs w:val="22"/>
              </w:rPr>
            </w:pPr>
            <w:r w:rsidRPr="00CE09D9">
              <w:rPr>
                <w:rFonts w:cs="Arial"/>
                <w:szCs w:val="22"/>
              </w:rPr>
              <w:lastRenderedPageBreak/>
              <w:t>Unfortunately, we don’t currently have the capability to identify unique enrollments. The participant data we have available is listed in Tables 1 and 2 of the RFP. However, this data is by benefit program only, so we</w:t>
            </w:r>
            <w:r w:rsidR="00E53484" w:rsidRPr="00CE09D9">
              <w:rPr>
                <w:rFonts w:cs="Arial"/>
                <w:szCs w:val="22"/>
              </w:rPr>
              <w:t xml:space="preserve"> know there are members who are counted more than once because they</w:t>
            </w:r>
            <w:r w:rsidR="0033338A" w:rsidRPr="00CE09D9">
              <w:rPr>
                <w:rFonts w:cs="Arial"/>
                <w:szCs w:val="22"/>
              </w:rPr>
              <w:t xml:space="preserve"> are enrolled in mu</w:t>
            </w:r>
            <w:r w:rsidR="00E53484" w:rsidRPr="00CE09D9">
              <w:rPr>
                <w:rFonts w:cs="Arial"/>
                <w:szCs w:val="22"/>
              </w:rPr>
              <w:t>ltiple benefit program</w:t>
            </w:r>
            <w:r w:rsidR="0033338A" w:rsidRPr="00CE09D9">
              <w:rPr>
                <w:rFonts w:cs="Arial"/>
                <w:szCs w:val="22"/>
              </w:rPr>
              <w:t>s</w:t>
            </w:r>
            <w:r w:rsidR="00E53484" w:rsidRPr="00CE09D9">
              <w:rPr>
                <w:rFonts w:cs="Arial"/>
                <w:szCs w:val="22"/>
              </w:rPr>
              <w:t xml:space="preserve">. </w:t>
            </w:r>
          </w:p>
          <w:p w14:paraId="1405C453" w14:textId="5F070A6B" w:rsidR="00E53484" w:rsidRPr="00CE09D9" w:rsidRDefault="00E53484" w:rsidP="005A28A3">
            <w:pPr>
              <w:spacing w:before="120" w:after="120"/>
              <w:rPr>
                <w:rFonts w:cs="Arial"/>
                <w:szCs w:val="22"/>
              </w:rPr>
            </w:pPr>
            <w:r w:rsidRPr="00CE09D9">
              <w:rPr>
                <w:rFonts w:cs="Arial"/>
                <w:szCs w:val="22"/>
              </w:rPr>
              <w:t>We encourage Proposers who use subscription pricing to break down their cost information into more granular details, if possible. For example, perhaps the Proposer can provide a per enrolled member cost, costing for different ranges of enrolled member counts</w:t>
            </w:r>
            <w:r w:rsidR="0033338A" w:rsidRPr="00CE09D9">
              <w:rPr>
                <w:rFonts w:cs="Arial"/>
                <w:szCs w:val="22"/>
              </w:rPr>
              <w:t xml:space="preserve">, or other appropriate and informative cost detailing. </w:t>
            </w:r>
          </w:p>
        </w:tc>
      </w:tr>
      <w:tr w:rsidR="008373EF" w:rsidRPr="00090B89" w14:paraId="78F2CADA" w14:textId="77777777" w:rsidTr="00520510">
        <w:tc>
          <w:tcPr>
            <w:tcW w:w="720" w:type="dxa"/>
            <w:shd w:val="clear" w:color="auto" w:fill="DBE5F1" w:themeFill="accent1" w:themeFillTint="33"/>
          </w:tcPr>
          <w:p w14:paraId="64FE49CC" w14:textId="6857C5DB" w:rsidR="008373EF" w:rsidRPr="00CE09D9" w:rsidRDefault="008373EF" w:rsidP="008373EF">
            <w:pPr>
              <w:spacing w:before="120" w:after="120"/>
              <w:jc w:val="both"/>
              <w:rPr>
                <w:rFonts w:cs="Arial"/>
                <w:szCs w:val="22"/>
              </w:rPr>
            </w:pPr>
            <w:bookmarkStart w:id="4" w:name="_Hlk37764541"/>
            <w:r w:rsidRPr="00CE09D9">
              <w:rPr>
                <w:rFonts w:cs="Arial"/>
                <w:color w:val="000000" w:themeColor="text1"/>
                <w:szCs w:val="22"/>
              </w:rPr>
              <w:lastRenderedPageBreak/>
              <w:t>Q2</w:t>
            </w:r>
          </w:p>
        </w:tc>
        <w:tc>
          <w:tcPr>
            <w:tcW w:w="1710" w:type="dxa"/>
            <w:shd w:val="clear" w:color="auto" w:fill="DBE5F1" w:themeFill="accent1" w:themeFillTint="33"/>
          </w:tcPr>
          <w:p w14:paraId="0A61F872" w14:textId="561916FE" w:rsidR="008373EF" w:rsidRPr="00CE09D9" w:rsidRDefault="008373EF" w:rsidP="008373EF">
            <w:pPr>
              <w:spacing w:before="120" w:after="120"/>
              <w:jc w:val="both"/>
              <w:rPr>
                <w:rFonts w:cs="Arial"/>
                <w:szCs w:val="22"/>
              </w:rPr>
            </w:pPr>
          </w:p>
        </w:tc>
        <w:tc>
          <w:tcPr>
            <w:tcW w:w="1710" w:type="dxa"/>
            <w:shd w:val="clear" w:color="auto" w:fill="DBE5F1" w:themeFill="accent1" w:themeFillTint="33"/>
          </w:tcPr>
          <w:p w14:paraId="6B84DF04" w14:textId="4CCD1026" w:rsidR="008373EF" w:rsidRPr="00CE09D9" w:rsidRDefault="008373EF" w:rsidP="008373EF">
            <w:pPr>
              <w:spacing w:before="120" w:after="120"/>
              <w:jc w:val="both"/>
              <w:rPr>
                <w:rFonts w:cs="Arial"/>
                <w:szCs w:val="22"/>
              </w:rPr>
            </w:pPr>
            <w:r w:rsidRPr="00CE09D9">
              <w:rPr>
                <w:rFonts w:cs="Arial"/>
                <w:color w:val="000000" w:themeColor="text1"/>
                <w:szCs w:val="22"/>
              </w:rPr>
              <w:t>Regarding Q38</w:t>
            </w:r>
          </w:p>
        </w:tc>
        <w:tc>
          <w:tcPr>
            <w:tcW w:w="3420" w:type="dxa"/>
            <w:shd w:val="clear" w:color="auto" w:fill="DBE5F1" w:themeFill="accent1" w:themeFillTint="33"/>
          </w:tcPr>
          <w:p w14:paraId="55B6FF32" w14:textId="77777777" w:rsidR="008373EF" w:rsidRPr="00CE09D9" w:rsidRDefault="008373EF" w:rsidP="008373EF">
            <w:pPr>
              <w:spacing w:before="120" w:after="120"/>
              <w:rPr>
                <w:rFonts w:eastAsiaTheme="minorHAnsi" w:cs="Arial"/>
                <w:color w:val="000000" w:themeColor="text1"/>
                <w:szCs w:val="22"/>
              </w:rPr>
            </w:pPr>
            <w:r w:rsidRPr="00CE09D9">
              <w:rPr>
                <w:rFonts w:cs="Arial"/>
                <w:color w:val="000000" w:themeColor="text1"/>
                <w:szCs w:val="22"/>
              </w:rPr>
              <w:t xml:space="preserve">Does ETF allow enrollment in life insurance and supplemental benefits at two different employers as a result of a statutory requirement? </w:t>
            </w:r>
          </w:p>
          <w:p w14:paraId="636C7FBB" w14:textId="68690365" w:rsidR="008373EF" w:rsidRPr="00CE09D9" w:rsidRDefault="008373EF" w:rsidP="008373EF">
            <w:pPr>
              <w:spacing w:before="120" w:after="120"/>
              <w:rPr>
                <w:rFonts w:cs="Arial"/>
                <w:szCs w:val="22"/>
              </w:rPr>
            </w:pPr>
            <w:r w:rsidRPr="00CE09D9">
              <w:rPr>
                <w:rFonts w:cs="Arial"/>
                <w:color w:val="000000" w:themeColor="text1"/>
                <w:szCs w:val="22"/>
              </w:rPr>
              <w:t>Is ETF open to altering dual enrollment rules of enrolling in the same benefit, at the same time, in two different employers if the system allowed for proper management?</w:t>
            </w:r>
          </w:p>
        </w:tc>
        <w:tc>
          <w:tcPr>
            <w:tcW w:w="5490" w:type="dxa"/>
            <w:shd w:val="clear" w:color="auto" w:fill="DBE5F1" w:themeFill="accent1" w:themeFillTint="33"/>
          </w:tcPr>
          <w:p w14:paraId="0595C37F" w14:textId="77777777" w:rsidR="008373EF" w:rsidRPr="008373EF" w:rsidRDefault="008373EF" w:rsidP="008373EF">
            <w:pPr>
              <w:spacing w:before="120" w:after="120"/>
              <w:rPr>
                <w:rFonts w:cs="Arial"/>
                <w:szCs w:val="22"/>
              </w:rPr>
            </w:pPr>
            <w:r w:rsidRPr="008373EF">
              <w:rPr>
                <w:rFonts w:cs="Arial"/>
                <w:szCs w:val="22"/>
              </w:rPr>
              <w:t xml:space="preserve">The current practices that allow enrollment in life insurance and supplemental benefits at two different employers are not specifically set by statute. </w:t>
            </w:r>
          </w:p>
          <w:p w14:paraId="5D798E7D" w14:textId="77777777" w:rsidR="008373EF" w:rsidRPr="008373EF" w:rsidRDefault="008373EF" w:rsidP="008373EF">
            <w:pPr>
              <w:pStyle w:val="ListParagraph"/>
              <w:numPr>
                <w:ilvl w:val="0"/>
                <w:numId w:val="9"/>
              </w:numPr>
              <w:spacing w:before="120" w:after="120"/>
              <w:rPr>
                <w:szCs w:val="22"/>
              </w:rPr>
            </w:pPr>
            <w:r w:rsidRPr="008373EF">
              <w:rPr>
                <w:rFonts w:cs="Arial"/>
                <w:szCs w:val="22"/>
              </w:rPr>
              <w:t>For supplemental benefits, individual vendors have the discretion whether to allow this practice, which most currently do.</w:t>
            </w:r>
          </w:p>
          <w:p w14:paraId="1B5C49D3" w14:textId="77777777" w:rsidR="008373EF" w:rsidRPr="008373EF" w:rsidRDefault="008373EF" w:rsidP="008373EF">
            <w:pPr>
              <w:pStyle w:val="ListParagraph"/>
              <w:numPr>
                <w:ilvl w:val="0"/>
                <w:numId w:val="9"/>
              </w:numPr>
              <w:spacing w:before="120" w:after="120"/>
              <w:rPr>
                <w:szCs w:val="22"/>
              </w:rPr>
            </w:pPr>
            <w:r w:rsidRPr="008373EF">
              <w:rPr>
                <w:rFonts w:cs="Arial"/>
                <w:szCs w:val="22"/>
              </w:rPr>
              <w:t xml:space="preserve">For life insurance, there is no statutory requirement that specifically addresses the ability to simultaneously enroll at two different employers. Wis. Stat. 40.02(25)(a) and Wis. Stat. 40.02(25)(c), however, define who qualifies as an eligible employee. An individual who meets these requirements at a given employer is eligible to enroll in any insurance benefits offered by that employer. There is nothing in the statutes to prohibit an eligible employee from enrolling in the same insurance benefit at more than one employer. </w:t>
            </w:r>
          </w:p>
          <w:p w14:paraId="546D1CB2" w14:textId="3E88D328" w:rsidR="008373EF" w:rsidRPr="008373EF" w:rsidRDefault="008373EF" w:rsidP="008373EF">
            <w:pPr>
              <w:spacing w:before="120" w:after="120"/>
              <w:rPr>
                <w:rFonts w:cs="Arial"/>
                <w:szCs w:val="22"/>
              </w:rPr>
            </w:pPr>
            <w:r w:rsidRPr="008373EF">
              <w:rPr>
                <w:rFonts w:cs="Arial"/>
                <w:szCs w:val="22"/>
              </w:rPr>
              <w:t xml:space="preserve">Yes, ETF is open to considering changes to existing enrollment rules to take advantage of capabilities the Proposer’s system may offer to streamline, enhance, automate, and effectively manage insurance enrollment functions. </w:t>
            </w:r>
          </w:p>
        </w:tc>
      </w:tr>
      <w:bookmarkEnd w:id="4"/>
      <w:tr w:rsidR="008373EF" w:rsidRPr="001F347B" w14:paraId="7D8D1068" w14:textId="77777777" w:rsidTr="00520510">
        <w:tc>
          <w:tcPr>
            <w:tcW w:w="720" w:type="dxa"/>
            <w:shd w:val="clear" w:color="auto" w:fill="EEECE1" w:themeFill="background2"/>
          </w:tcPr>
          <w:p w14:paraId="155D0682" w14:textId="3B6B584C" w:rsidR="008373EF" w:rsidRPr="00CE09D9" w:rsidRDefault="008373EF" w:rsidP="008373EF">
            <w:pPr>
              <w:spacing w:before="120" w:after="120"/>
              <w:jc w:val="both"/>
              <w:rPr>
                <w:rFonts w:cs="Arial"/>
                <w:szCs w:val="22"/>
              </w:rPr>
            </w:pPr>
            <w:r w:rsidRPr="00CE09D9">
              <w:rPr>
                <w:rFonts w:cs="Arial"/>
                <w:color w:val="000000" w:themeColor="text1"/>
                <w:szCs w:val="22"/>
              </w:rPr>
              <w:t>Q3</w:t>
            </w:r>
          </w:p>
        </w:tc>
        <w:tc>
          <w:tcPr>
            <w:tcW w:w="1710" w:type="dxa"/>
            <w:shd w:val="clear" w:color="auto" w:fill="EEECE1" w:themeFill="background2"/>
          </w:tcPr>
          <w:p w14:paraId="2CCF5FB3" w14:textId="202735FA" w:rsidR="008373EF" w:rsidRPr="00CE09D9" w:rsidRDefault="008373EF" w:rsidP="008373EF">
            <w:pPr>
              <w:spacing w:before="120" w:after="120"/>
              <w:jc w:val="both"/>
              <w:rPr>
                <w:rFonts w:cs="Arial"/>
                <w:szCs w:val="22"/>
              </w:rPr>
            </w:pPr>
          </w:p>
        </w:tc>
        <w:tc>
          <w:tcPr>
            <w:tcW w:w="1710" w:type="dxa"/>
            <w:shd w:val="clear" w:color="auto" w:fill="EEECE1" w:themeFill="background2"/>
          </w:tcPr>
          <w:p w14:paraId="2A9731E4" w14:textId="1B4E6D8C" w:rsidR="008373EF" w:rsidRPr="00CE09D9" w:rsidRDefault="008373EF" w:rsidP="008373EF">
            <w:pPr>
              <w:spacing w:before="120" w:after="120"/>
              <w:jc w:val="both"/>
              <w:rPr>
                <w:rFonts w:cs="Arial"/>
                <w:szCs w:val="22"/>
              </w:rPr>
            </w:pPr>
          </w:p>
        </w:tc>
        <w:tc>
          <w:tcPr>
            <w:tcW w:w="3420" w:type="dxa"/>
            <w:shd w:val="clear" w:color="auto" w:fill="EEECE1" w:themeFill="background2"/>
          </w:tcPr>
          <w:p w14:paraId="0561C5D5" w14:textId="21925045" w:rsidR="008373EF" w:rsidRPr="00CE09D9" w:rsidRDefault="008373EF" w:rsidP="008373EF">
            <w:pPr>
              <w:spacing w:before="120" w:after="120"/>
              <w:jc w:val="both"/>
              <w:rPr>
                <w:rFonts w:cs="Arial"/>
                <w:szCs w:val="22"/>
              </w:rPr>
            </w:pPr>
            <w:r w:rsidRPr="00CE09D9">
              <w:rPr>
                <w:rFonts w:cs="Arial"/>
                <w:color w:val="000000" w:themeColor="text1"/>
                <w:szCs w:val="22"/>
              </w:rPr>
              <w:t>Is ETF open to receiving recommendations on how to streamline business rules thus creating efficiency in implementation ongoing support, and management?</w:t>
            </w:r>
          </w:p>
        </w:tc>
        <w:tc>
          <w:tcPr>
            <w:tcW w:w="5490" w:type="dxa"/>
            <w:shd w:val="clear" w:color="auto" w:fill="EEECE1" w:themeFill="background2"/>
          </w:tcPr>
          <w:p w14:paraId="12EF333B" w14:textId="6AED83AE" w:rsidR="008373EF" w:rsidRPr="00CE09D9" w:rsidRDefault="008373EF" w:rsidP="008373EF">
            <w:pPr>
              <w:spacing w:before="120" w:after="120"/>
              <w:jc w:val="both"/>
              <w:rPr>
                <w:rFonts w:cs="Arial"/>
                <w:szCs w:val="22"/>
              </w:rPr>
            </w:pPr>
            <w:r w:rsidRPr="00CE09D9">
              <w:rPr>
                <w:rFonts w:cs="Arial"/>
                <w:szCs w:val="22"/>
              </w:rPr>
              <w:t>Yes, ETF is open to considering changes to existing processes, procedures, and business rules to take advantage of capabilities the Proposer’s system may offer to streamline, enhance, automate, and effectively manage insurance eligibility, enrollment, and invoicing functions.</w:t>
            </w:r>
          </w:p>
        </w:tc>
      </w:tr>
      <w:tr w:rsidR="008373EF" w:rsidRPr="008C2226" w14:paraId="76D9A384" w14:textId="77777777" w:rsidTr="00520510">
        <w:tc>
          <w:tcPr>
            <w:tcW w:w="720" w:type="dxa"/>
            <w:shd w:val="clear" w:color="auto" w:fill="DBE5F1" w:themeFill="accent1" w:themeFillTint="33"/>
          </w:tcPr>
          <w:p w14:paraId="27BB6BE8" w14:textId="2E2ECDF7" w:rsidR="008373EF" w:rsidRPr="00CE09D9" w:rsidRDefault="008373EF" w:rsidP="008373EF">
            <w:pPr>
              <w:spacing w:before="120" w:after="120"/>
              <w:jc w:val="both"/>
              <w:rPr>
                <w:rFonts w:cs="Arial"/>
                <w:szCs w:val="22"/>
              </w:rPr>
            </w:pPr>
            <w:r w:rsidRPr="00CE09D9">
              <w:rPr>
                <w:rFonts w:cs="Arial"/>
                <w:color w:val="000000" w:themeColor="text1"/>
                <w:szCs w:val="22"/>
              </w:rPr>
              <w:t>Q4</w:t>
            </w:r>
          </w:p>
        </w:tc>
        <w:tc>
          <w:tcPr>
            <w:tcW w:w="1710" w:type="dxa"/>
            <w:shd w:val="clear" w:color="auto" w:fill="DBE5F1" w:themeFill="accent1" w:themeFillTint="33"/>
          </w:tcPr>
          <w:p w14:paraId="25375B72" w14:textId="77777777" w:rsidR="008373EF" w:rsidRPr="00CE09D9" w:rsidRDefault="008373EF" w:rsidP="008373EF">
            <w:pPr>
              <w:spacing w:before="120" w:after="120"/>
              <w:rPr>
                <w:rFonts w:cs="Arial"/>
                <w:color w:val="000000"/>
                <w:szCs w:val="22"/>
              </w:rPr>
            </w:pPr>
            <w:r w:rsidRPr="00CE09D9">
              <w:rPr>
                <w:rFonts w:cs="Arial"/>
                <w:color w:val="000000"/>
                <w:szCs w:val="22"/>
              </w:rPr>
              <w:t>Health, Pharmacy and Dental Insurance Programs</w:t>
            </w:r>
          </w:p>
          <w:p w14:paraId="5C275C27" w14:textId="54A05059" w:rsidR="008373EF" w:rsidRPr="00CE09D9" w:rsidRDefault="008373EF" w:rsidP="008373EF">
            <w:pPr>
              <w:spacing w:before="120" w:after="120"/>
              <w:jc w:val="both"/>
              <w:rPr>
                <w:rFonts w:cs="Arial"/>
                <w:szCs w:val="22"/>
              </w:rPr>
            </w:pPr>
          </w:p>
        </w:tc>
        <w:tc>
          <w:tcPr>
            <w:tcW w:w="1710" w:type="dxa"/>
            <w:shd w:val="clear" w:color="auto" w:fill="DBE5F1" w:themeFill="accent1" w:themeFillTint="33"/>
          </w:tcPr>
          <w:p w14:paraId="6D0718D6" w14:textId="6188FB9F" w:rsidR="008373EF" w:rsidRPr="00CE09D9" w:rsidRDefault="008373EF" w:rsidP="008373EF">
            <w:pPr>
              <w:spacing w:before="120" w:after="120"/>
              <w:jc w:val="both"/>
              <w:rPr>
                <w:rFonts w:cs="Arial"/>
                <w:szCs w:val="22"/>
              </w:rPr>
            </w:pPr>
            <w:r w:rsidRPr="00CE09D9">
              <w:rPr>
                <w:rFonts w:cs="Arial"/>
                <w:szCs w:val="22"/>
              </w:rPr>
              <w:t>4 of 31</w:t>
            </w:r>
          </w:p>
        </w:tc>
        <w:tc>
          <w:tcPr>
            <w:tcW w:w="3420" w:type="dxa"/>
            <w:shd w:val="clear" w:color="auto" w:fill="DBE5F1" w:themeFill="accent1" w:themeFillTint="33"/>
          </w:tcPr>
          <w:p w14:paraId="4450AD52" w14:textId="6573A0EF" w:rsidR="008373EF" w:rsidRPr="00CE09D9" w:rsidRDefault="008373EF" w:rsidP="008373EF">
            <w:pPr>
              <w:spacing w:before="120" w:after="120"/>
              <w:rPr>
                <w:rFonts w:cs="Arial"/>
                <w:szCs w:val="22"/>
              </w:rPr>
            </w:pPr>
            <w:r w:rsidRPr="00CE09D9">
              <w:rPr>
                <w:rFonts w:cs="Arial"/>
                <w:color w:val="000000"/>
                <w:szCs w:val="22"/>
              </w:rPr>
              <w:t>With respect to payment for benefits, please provide an example of a retiree who has exhausted their sick leave bank. How are is the retiree transitioned to payment through their annuity and/or direct bill? What data is available to identify these individuals?</w:t>
            </w:r>
          </w:p>
        </w:tc>
        <w:tc>
          <w:tcPr>
            <w:tcW w:w="5490" w:type="dxa"/>
            <w:shd w:val="clear" w:color="auto" w:fill="DBE5F1" w:themeFill="accent1" w:themeFillTint="33"/>
          </w:tcPr>
          <w:p w14:paraId="2CC81FD7" w14:textId="77777777" w:rsidR="008373EF" w:rsidRPr="00CE09D9" w:rsidRDefault="008373EF" w:rsidP="008373EF">
            <w:pPr>
              <w:spacing w:before="120" w:after="120"/>
              <w:rPr>
                <w:rFonts w:cs="Arial"/>
                <w:szCs w:val="22"/>
              </w:rPr>
            </w:pPr>
            <w:r w:rsidRPr="00CE09D9">
              <w:rPr>
                <w:rFonts w:cs="Arial"/>
                <w:szCs w:val="22"/>
              </w:rPr>
              <w:t xml:space="preserve">Currently, an eligible retiree with an accumulated sick leave credit balance is set up in MEBS, ETF’s existing health insurance system, with a health insurance group number denoting sick leave credits as the premium payment source. </w:t>
            </w:r>
          </w:p>
          <w:p w14:paraId="147A56AC" w14:textId="5C351B91" w:rsidR="008373EF" w:rsidRPr="00CE09D9" w:rsidRDefault="008373EF" w:rsidP="008373EF">
            <w:pPr>
              <w:spacing w:after="160"/>
              <w:rPr>
                <w:rFonts w:cs="Arial"/>
                <w:color w:val="000000"/>
                <w:szCs w:val="22"/>
              </w:rPr>
            </w:pPr>
            <w:r w:rsidRPr="00CE09D9">
              <w:rPr>
                <w:rFonts w:cs="Arial"/>
                <w:color w:val="000000"/>
                <w:szCs w:val="22"/>
              </w:rPr>
              <w:t xml:space="preserve">On a monthly basis, AcSL, ETF’s current sick leave system, accesses invoices from MEBS and deducts health insurance premiums from member accounts. </w:t>
            </w:r>
          </w:p>
          <w:p w14:paraId="345BB69D" w14:textId="7C6F653C" w:rsidR="008373EF" w:rsidRPr="00CE09D9" w:rsidRDefault="008373EF" w:rsidP="008373EF">
            <w:pPr>
              <w:spacing w:after="160"/>
              <w:rPr>
                <w:rFonts w:cs="Arial"/>
                <w:color w:val="000000"/>
                <w:szCs w:val="22"/>
              </w:rPr>
            </w:pPr>
            <w:r w:rsidRPr="00CE09D9">
              <w:rPr>
                <w:rFonts w:cs="Arial"/>
                <w:color w:val="000000"/>
                <w:szCs w:val="22"/>
              </w:rPr>
              <w:t xml:space="preserve">AcSL recalculates and maintains current account balances as monthly premiums are deducted and adjustments (to original information submitted by employers, prior month premiums, etc.) are made. </w:t>
            </w:r>
          </w:p>
          <w:p w14:paraId="588BADA6" w14:textId="3BC452D0" w:rsidR="008373EF" w:rsidRPr="00CE09D9" w:rsidRDefault="008373EF" w:rsidP="008373EF">
            <w:pPr>
              <w:spacing w:after="160"/>
              <w:rPr>
                <w:rFonts w:cs="Arial"/>
                <w:color w:val="000000"/>
                <w:szCs w:val="22"/>
              </w:rPr>
            </w:pPr>
            <w:r w:rsidRPr="00CE09D9">
              <w:rPr>
                <w:rFonts w:cs="Arial"/>
                <w:color w:val="000000"/>
                <w:szCs w:val="22"/>
              </w:rPr>
              <w:t xml:space="preserve">Once a member’s sick leave balance in AcSL reaches the point where it is insufficient to cover the monthly premium, the account is flagged for staff review. ETF staff then manually review the member’s annuity, if any, in our current pension system to determine if the monthly amount is adequate to cover the monthly health insurance premium. If it is adequate, ETF staff manually update the health insurance group number in MEBS to reflect annuity deduction as the new premium payment source. If it’s not adequate, ETF staff manually update the group number to reflect direct billing as the new premium payment source. </w:t>
            </w:r>
          </w:p>
          <w:p w14:paraId="75A9D34B" w14:textId="6C2DE484" w:rsidR="008373EF" w:rsidRPr="00CE09D9" w:rsidRDefault="008373EF" w:rsidP="008373EF">
            <w:pPr>
              <w:spacing w:after="160"/>
              <w:rPr>
                <w:rFonts w:cs="Arial"/>
                <w:color w:val="000000"/>
                <w:szCs w:val="22"/>
              </w:rPr>
            </w:pPr>
            <w:r w:rsidRPr="00CE09D9">
              <w:rPr>
                <w:rFonts w:cs="Arial"/>
                <w:color w:val="000000"/>
                <w:szCs w:val="22"/>
              </w:rPr>
              <w:t xml:space="preserve">Data used to identify and manually review depleting sick leave accounts resides in several current legacy systems.  </w:t>
            </w:r>
          </w:p>
          <w:p w14:paraId="66160C10" w14:textId="1ED08C53" w:rsidR="008373EF" w:rsidRPr="00CE09D9" w:rsidRDefault="008373EF" w:rsidP="008373EF">
            <w:pPr>
              <w:spacing w:after="160"/>
              <w:rPr>
                <w:rFonts w:cs="Arial"/>
                <w:szCs w:val="22"/>
              </w:rPr>
            </w:pPr>
            <w:r w:rsidRPr="00CE09D9">
              <w:rPr>
                <w:rFonts w:cs="Arial"/>
                <w:color w:val="000000"/>
                <w:szCs w:val="22"/>
              </w:rPr>
              <w:t xml:space="preserve">This is a very manual process today. We are interested in any capabilities the Proposer’s system may offer to streamline, enhance, automate, and effectively manage these functions. </w:t>
            </w:r>
          </w:p>
        </w:tc>
      </w:tr>
      <w:tr w:rsidR="008373EF" w:rsidRPr="00370D1C" w14:paraId="65FE66EC" w14:textId="77777777" w:rsidTr="00520510">
        <w:tc>
          <w:tcPr>
            <w:tcW w:w="720" w:type="dxa"/>
            <w:shd w:val="clear" w:color="auto" w:fill="EEECE1" w:themeFill="background2"/>
          </w:tcPr>
          <w:p w14:paraId="1662F9C3" w14:textId="7E8688B4" w:rsidR="008373EF" w:rsidRPr="00CE09D9" w:rsidRDefault="008373EF" w:rsidP="008373EF">
            <w:pPr>
              <w:spacing w:before="120" w:after="120"/>
              <w:jc w:val="both"/>
              <w:rPr>
                <w:rFonts w:cs="Arial"/>
                <w:szCs w:val="22"/>
              </w:rPr>
            </w:pPr>
            <w:r w:rsidRPr="00CE09D9">
              <w:rPr>
                <w:rFonts w:cs="Arial"/>
                <w:color w:val="000000" w:themeColor="text1"/>
                <w:szCs w:val="22"/>
              </w:rPr>
              <w:t>Q5</w:t>
            </w:r>
          </w:p>
        </w:tc>
        <w:tc>
          <w:tcPr>
            <w:tcW w:w="1710" w:type="dxa"/>
            <w:shd w:val="clear" w:color="auto" w:fill="EEECE1" w:themeFill="background2"/>
          </w:tcPr>
          <w:p w14:paraId="6E147C96" w14:textId="0A374B92" w:rsidR="008373EF" w:rsidRPr="00CE09D9" w:rsidRDefault="008373EF" w:rsidP="008373EF">
            <w:pPr>
              <w:spacing w:before="120" w:after="120"/>
              <w:jc w:val="both"/>
              <w:rPr>
                <w:rFonts w:cs="Arial"/>
                <w:szCs w:val="22"/>
              </w:rPr>
            </w:pPr>
          </w:p>
        </w:tc>
        <w:tc>
          <w:tcPr>
            <w:tcW w:w="1710" w:type="dxa"/>
            <w:shd w:val="clear" w:color="auto" w:fill="EEECE1" w:themeFill="background2"/>
          </w:tcPr>
          <w:p w14:paraId="22FC8306" w14:textId="63A55551" w:rsidR="008373EF" w:rsidRPr="00CE09D9" w:rsidRDefault="008373EF" w:rsidP="008373EF">
            <w:pPr>
              <w:spacing w:before="120" w:after="120"/>
              <w:jc w:val="both"/>
              <w:rPr>
                <w:rFonts w:cs="Arial"/>
                <w:szCs w:val="22"/>
              </w:rPr>
            </w:pPr>
            <w:r w:rsidRPr="00CE09D9">
              <w:rPr>
                <w:rFonts w:cs="Arial"/>
                <w:color w:val="000000"/>
                <w:szCs w:val="22"/>
              </w:rPr>
              <w:t>12 of 31</w:t>
            </w:r>
          </w:p>
        </w:tc>
        <w:tc>
          <w:tcPr>
            <w:tcW w:w="3420" w:type="dxa"/>
            <w:shd w:val="clear" w:color="auto" w:fill="EEECE1" w:themeFill="background2"/>
          </w:tcPr>
          <w:p w14:paraId="4C3B52D3" w14:textId="614C5CBC" w:rsidR="008373EF" w:rsidRPr="00CE09D9" w:rsidRDefault="008373EF" w:rsidP="008373EF">
            <w:pPr>
              <w:spacing w:before="120" w:after="120"/>
              <w:rPr>
                <w:rFonts w:cs="Arial"/>
                <w:szCs w:val="22"/>
              </w:rPr>
            </w:pPr>
            <w:r w:rsidRPr="00CE09D9">
              <w:rPr>
                <w:rFonts w:cs="Arial"/>
                <w:color w:val="000000"/>
                <w:szCs w:val="22"/>
              </w:rPr>
              <w:t>Can you please clarify why you require source code escrow of SaaS providers?</w:t>
            </w:r>
            <w:r w:rsidRPr="00CE09D9">
              <w:rPr>
                <w:rFonts w:cs="Arial"/>
                <w:color w:val="000000"/>
                <w:szCs w:val="22"/>
              </w:rPr>
              <w:br/>
            </w:r>
            <w:r w:rsidRPr="00CE09D9">
              <w:rPr>
                <w:rFonts w:cs="Arial"/>
                <w:color w:val="000000"/>
                <w:szCs w:val="22"/>
              </w:rPr>
              <w:br/>
              <w:t>If we choose not to provide source code escrow, will we be disqualified?</w:t>
            </w:r>
          </w:p>
        </w:tc>
        <w:tc>
          <w:tcPr>
            <w:tcW w:w="5490" w:type="dxa"/>
            <w:shd w:val="clear" w:color="auto" w:fill="EEECE1" w:themeFill="background2"/>
          </w:tcPr>
          <w:p w14:paraId="13957238" w14:textId="77777777" w:rsidR="008373EF" w:rsidRPr="00CE09D9" w:rsidRDefault="008373EF" w:rsidP="008373EF">
            <w:pPr>
              <w:spacing w:before="120" w:after="120"/>
              <w:rPr>
                <w:rFonts w:cs="Arial"/>
                <w:szCs w:val="22"/>
              </w:rPr>
            </w:pPr>
            <w:r w:rsidRPr="00CE09D9">
              <w:rPr>
                <w:rFonts w:cs="Arial"/>
                <w:szCs w:val="22"/>
              </w:rPr>
              <w:t>ETF is interested in receiving source code escrow from all providers and solution deployment options. Specifically, ETF is requesting source code escrow from SaaS providers because ETF will have limited access to and control over a SaaS hosting environment, and so having the source code escrow serves as a safety net in case a vendor or hosting service disappear unexpectedly.</w:t>
            </w:r>
          </w:p>
          <w:p w14:paraId="1AE533BC" w14:textId="64AF3EE7" w:rsidR="008373EF" w:rsidRPr="00CE09D9" w:rsidRDefault="008373EF" w:rsidP="008373EF">
            <w:pPr>
              <w:rPr>
                <w:rFonts w:cs="Arial"/>
                <w:szCs w:val="22"/>
              </w:rPr>
            </w:pPr>
            <w:r w:rsidRPr="00CE09D9">
              <w:rPr>
                <w:rFonts w:cs="Arial"/>
                <w:szCs w:val="22"/>
              </w:rPr>
              <w:t xml:space="preserve">Proposers will </w:t>
            </w:r>
            <w:r w:rsidRPr="00CE09D9">
              <w:rPr>
                <w:rFonts w:cs="Arial"/>
                <w:szCs w:val="22"/>
                <w:u w:val="single"/>
              </w:rPr>
              <w:t>not</w:t>
            </w:r>
            <w:r w:rsidRPr="00CE09D9">
              <w:rPr>
                <w:rFonts w:cs="Arial"/>
                <w:szCs w:val="22"/>
              </w:rPr>
              <w:t xml:space="preserve"> be disqualified regardless of their responses regarding source code escrow.</w:t>
            </w:r>
          </w:p>
        </w:tc>
      </w:tr>
      <w:tr w:rsidR="008373EF" w:rsidRPr="006309FD" w14:paraId="7B7FC217" w14:textId="77777777" w:rsidTr="00520510">
        <w:tc>
          <w:tcPr>
            <w:tcW w:w="720" w:type="dxa"/>
            <w:shd w:val="clear" w:color="auto" w:fill="DBE5F1" w:themeFill="accent1" w:themeFillTint="33"/>
          </w:tcPr>
          <w:p w14:paraId="6BBF4B57" w14:textId="12505C97" w:rsidR="008373EF" w:rsidRPr="00CE09D9" w:rsidRDefault="008373EF" w:rsidP="008373EF">
            <w:pPr>
              <w:spacing w:before="120" w:after="120"/>
              <w:jc w:val="both"/>
              <w:rPr>
                <w:rFonts w:cs="Arial"/>
                <w:szCs w:val="22"/>
              </w:rPr>
            </w:pPr>
            <w:r w:rsidRPr="00CE09D9">
              <w:rPr>
                <w:rFonts w:cs="Arial"/>
                <w:color w:val="000000" w:themeColor="text1"/>
                <w:szCs w:val="22"/>
              </w:rPr>
              <w:t>Q6</w:t>
            </w:r>
          </w:p>
        </w:tc>
        <w:tc>
          <w:tcPr>
            <w:tcW w:w="1710" w:type="dxa"/>
            <w:shd w:val="clear" w:color="auto" w:fill="DBE5F1" w:themeFill="accent1" w:themeFillTint="33"/>
          </w:tcPr>
          <w:p w14:paraId="24BA401E" w14:textId="0F70E2C9" w:rsidR="008373EF" w:rsidRPr="00CE09D9" w:rsidRDefault="008373EF" w:rsidP="008373EF">
            <w:pPr>
              <w:spacing w:before="120" w:after="120"/>
              <w:jc w:val="both"/>
              <w:rPr>
                <w:rFonts w:cs="Arial"/>
                <w:szCs w:val="22"/>
              </w:rPr>
            </w:pPr>
            <w:r w:rsidRPr="00CE09D9">
              <w:rPr>
                <w:rFonts w:cs="Arial"/>
                <w:color w:val="000000"/>
                <w:szCs w:val="22"/>
              </w:rPr>
              <w:t>General</w:t>
            </w:r>
          </w:p>
        </w:tc>
        <w:tc>
          <w:tcPr>
            <w:tcW w:w="1710" w:type="dxa"/>
            <w:shd w:val="clear" w:color="auto" w:fill="DBE5F1" w:themeFill="accent1" w:themeFillTint="33"/>
          </w:tcPr>
          <w:p w14:paraId="183A8DF3" w14:textId="6A8EE7B6" w:rsidR="008373EF" w:rsidRPr="00CE09D9" w:rsidRDefault="008373EF" w:rsidP="008373EF">
            <w:pPr>
              <w:spacing w:before="120" w:after="120"/>
              <w:jc w:val="both"/>
              <w:rPr>
                <w:rFonts w:cs="Arial"/>
                <w:szCs w:val="22"/>
              </w:rPr>
            </w:pPr>
            <w:r w:rsidRPr="00CE09D9">
              <w:rPr>
                <w:rFonts w:cs="Arial"/>
                <w:color w:val="000000"/>
                <w:szCs w:val="22"/>
              </w:rPr>
              <w:t>General</w:t>
            </w:r>
          </w:p>
        </w:tc>
        <w:tc>
          <w:tcPr>
            <w:tcW w:w="3420" w:type="dxa"/>
            <w:shd w:val="clear" w:color="auto" w:fill="DBE5F1" w:themeFill="accent1" w:themeFillTint="33"/>
          </w:tcPr>
          <w:p w14:paraId="19646EF5" w14:textId="72BB180D" w:rsidR="008373EF" w:rsidRPr="00CE09D9" w:rsidRDefault="008373EF" w:rsidP="008373EF">
            <w:pPr>
              <w:spacing w:before="120" w:after="120"/>
              <w:rPr>
                <w:rFonts w:cs="Arial"/>
                <w:szCs w:val="22"/>
              </w:rPr>
            </w:pPr>
            <w:r w:rsidRPr="00CE09D9">
              <w:rPr>
                <w:rFonts w:cs="Arial"/>
                <w:color w:val="000000"/>
                <w:szCs w:val="22"/>
              </w:rPr>
              <w:t xml:space="preserve">It was noted in the response to Q24a that you would like to see the applicable pricing for call center services. In order to provide this, we need the previously requested call details: </w:t>
            </w:r>
            <w:r w:rsidRPr="00CE09D9">
              <w:rPr>
                <w:rFonts w:cs="Arial"/>
                <w:color w:val="000000"/>
                <w:szCs w:val="22"/>
              </w:rPr>
              <w:br/>
              <w:t>a. Annual Call Volume</w:t>
            </w:r>
            <w:r w:rsidRPr="00CE09D9">
              <w:rPr>
                <w:rFonts w:cs="Arial"/>
                <w:color w:val="000000"/>
                <w:szCs w:val="22"/>
              </w:rPr>
              <w:br/>
              <w:t>b. Annual Enrollment Call Volume</w:t>
            </w:r>
            <w:r w:rsidRPr="00CE09D9">
              <w:rPr>
                <w:rFonts w:cs="Arial"/>
                <w:color w:val="000000"/>
                <w:szCs w:val="22"/>
              </w:rPr>
              <w:br/>
              <w:t>c. Average Call Duration</w:t>
            </w:r>
          </w:p>
        </w:tc>
        <w:tc>
          <w:tcPr>
            <w:tcW w:w="5490" w:type="dxa"/>
            <w:shd w:val="clear" w:color="auto" w:fill="DBE5F1" w:themeFill="accent1" w:themeFillTint="33"/>
          </w:tcPr>
          <w:p w14:paraId="2BF47A68" w14:textId="58D780C9" w:rsidR="008373EF" w:rsidRPr="00CE09D9" w:rsidRDefault="008373EF" w:rsidP="008373EF">
            <w:pPr>
              <w:pStyle w:val="ListParagraph"/>
              <w:numPr>
                <w:ilvl w:val="0"/>
                <w:numId w:val="3"/>
              </w:numPr>
              <w:spacing w:before="120" w:after="120"/>
              <w:ind w:left="430"/>
              <w:rPr>
                <w:rFonts w:cs="Arial"/>
                <w:szCs w:val="22"/>
              </w:rPr>
            </w:pPr>
            <w:r w:rsidRPr="00CE09D9">
              <w:rPr>
                <w:rFonts w:cs="Arial"/>
                <w:szCs w:val="22"/>
              </w:rPr>
              <w:t xml:space="preserve">In 2019, ETF’s annual inbound member call volume was 177,820. These calls covered a range of topics from legislation to pension benefits to insurance-related topics. Approximately 20% of the total inbound call volume was tagged as an insurance or sick leave-related inquiry. </w:t>
            </w:r>
          </w:p>
          <w:p w14:paraId="32B1112E" w14:textId="77777777" w:rsidR="008373EF" w:rsidRPr="00CE09D9" w:rsidRDefault="008373EF" w:rsidP="008373EF">
            <w:pPr>
              <w:pStyle w:val="ListParagraph"/>
              <w:spacing w:before="120" w:after="120"/>
              <w:ind w:left="430"/>
              <w:rPr>
                <w:rFonts w:cs="Arial"/>
                <w:szCs w:val="22"/>
              </w:rPr>
            </w:pPr>
          </w:p>
          <w:p w14:paraId="66C1C6B2" w14:textId="3C5096C9" w:rsidR="008373EF" w:rsidRPr="00CE09D9" w:rsidRDefault="008373EF" w:rsidP="008373EF">
            <w:pPr>
              <w:pStyle w:val="ListParagraph"/>
              <w:spacing w:before="120" w:after="120"/>
              <w:ind w:left="430"/>
              <w:rPr>
                <w:rFonts w:cs="Arial"/>
                <w:szCs w:val="22"/>
              </w:rPr>
            </w:pPr>
            <w:r w:rsidRPr="00CE09D9">
              <w:rPr>
                <w:rFonts w:cs="Arial"/>
                <w:szCs w:val="22"/>
              </w:rPr>
              <w:t>See the response to question Q7 below for more detail on call topics.</w:t>
            </w:r>
          </w:p>
          <w:p w14:paraId="7AB56F5D" w14:textId="77777777" w:rsidR="008373EF" w:rsidRPr="00CE09D9" w:rsidRDefault="008373EF" w:rsidP="008373EF">
            <w:pPr>
              <w:pStyle w:val="ListParagraph"/>
              <w:spacing w:before="120" w:after="120"/>
              <w:ind w:left="430"/>
              <w:rPr>
                <w:rFonts w:cs="Arial"/>
                <w:szCs w:val="22"/>
              </w:rPr>
            </w:pPr>
          </w:p>
          <w:p w14:paraId="64543413" w14:textId="7E1ED95C" w:rsidR="008373EF" w:rsidRPr="00CE09D9" w:rsidRDefault="008373EF" w:rsidP="008373EF">
            <w:pPr>
              <w:pStyle w:val="ListParagraph"/>
              <w:numPr>
                <w:ilvl w:val="0"/>
                <w:numId w:val="3"/>
              </w:numPr>
              <w:spacing w:before="120" w:after="120"/>
              <w:ind w:left="430"/>
              <w:rPr>
                <w:rFonts w:cs="Arial"/>
                <w:szCs w:val="22"/>
              </w:rPr>
            </w:pPr>
            <w:r w:rsidRPr="00CE09D9">
              <w:rPr>
                <w:rFonts w:cs="Arial"/>
                <w:szCs w:val="22"/>
              </w:rPr>
              <w:t xml:space="preserve">Approximately 12% (21,770) of the total inbound call volume was received during the annual open enrollment period in October. Of the October calls, approximately 30% were related to health insurance questions. </w:t>
            </w:r>
          </w:p>
          <w:p w14:paraId="00858F31" w14:textId="77777777" w:rsidR="008373EF" w:rsidRPr="00CE09D9" w:rsidRDefault="008373EF" w:rsidP="008373EF">
            <w:pPr>
              <w:pStyle w:val="ListParagraph"/>
              <w:spacing w:before="120" w:after="120"/>
              <w:ind w:left="430"/>
              <w:rPr>
                <w:rFonts w:cs="Arial"/>
                <w:szCs w:val="22"/>
              </w:rPr>
            </w:pPr>
          </w:p>
          <w:p w14:paraId="3D017203" w14:textId="6C8949E8" w:rsidR="008373EF" w:rsidRPr="00CE09D9" w:rsidRDefault="008373EF" w:rsidP="008373EF">
            <w:pPr>
              <w:pStyle w:val="ListParagraph"/>
              <w:numPr>
                <w:ilvl w:val="0"/>
                <w:numId w:val="3"/>
              </w:numPr>
              <w:spacing w:before="120" w:after="120"/>
              <w:ind w:left="430"/>
              <w:rPr>
                <w:rFonts w:cs="Arial"/>
                <w:szCs w:val="22"/>
              </w:rPr>
            </w:pPr>
            <w:r w:rsidRPr="00CE09D9">
              <w:rPr>
                <w:rFonts w:cs="Arial"/>
                <w:szCs w:val="22"/>
              </w:rPr>
              <w:t xml:space="preserve">ETF’s average inbound call duration in 2019 was 5.38 minutes. </w:t>
            </w:r>
          </w:p>
        </w:tc>
      </w:tr>
      <w:tr w:rsidR="008373EF" w:rsidRPr="006309FD" w14:paraId="01E466F4" w14:textId="77777777" w:rsidTr="00520510">
        <w:tc>
          <w:tcPr>
            <w:tcW w:w="720" w:type="dxa"/>
            <w:shd w:val="clear" w:color="auto" w:fill="EEECE1" w:themeFill="background2"/>
          </w:tcPr>
          <w:p w14:paraId="6F45E6DC" w14:textId="60262087" w:rsidR="008373EF" w:rsidRPr="00CE09D9" w:rsidRDefault="008373EF" w:rsidP="008373EF">
            <w:pPr>
              <w:spacing w:before="120" w:after="120"/>
              <w:jc w:val="both"/>
              <w:rPr>
                <w:rFonts w:cs="Arial"/>
                <w:szCs w:val="22"/>
              </w:rPr>
            </w:pPr>
            <w:bookmarkStart w:id="5" w:name="_Hlk36015583"/>
            <w:r w:rsidRPr="00CE09D9">
              <w:rPr>
                <w:rFonts w:cs="Arial"/>
                <w:color w:val="000000" w:themeColor="text1"/>
                <w:szCs w:val="22"/>
              </w:rPr>
              <w:t>Q7</w:t>
            </w:r>
          </w:p>
        </w:tc>
        <w:tc>
          <w:tcPr>
            <w:tcW w:w="1710" w:type="dxa"/>
            <w:shd w:val="clear" w:color="auto" w:fill="EEECE1" w:themeFill="background2"/>
          </w:tcPr>
          <w:p w14:paraId="67B68586" w14:textId="64D39B96" w:rsidR="008373EF" w:rsidRPr="00CE09D9" w:rsidRDefault="008373EF" w:rsidP="008373EF">
            <w:pPr>
              <w:spacing w:before="120" w:after="120"/>
              <w:jc w:val="both"/>
              <w:rPr>
                <w:rFonts w:cs="Arial"/>
                <w:szCs w:val="22"/>
              </w:rPr>
            </w:pPr>
            <w:r w:rsidRPr="00CE09D9">
              <w:rPr>
                <w:rFonts w:cs="Arial"/>
                <w:color w:val="000000"/>
                <w:szCs w:val="22"/>
              </w:rPr>
              <w:t xml:space="preserve">General </w:t>
            </w:r>
          </w:p>
        </w:tc>
        <w:tc>
          <w:tcPr>
            <w:tcW w:w="1710" w:type="dxa"/>
            <w:shd w:val="clear" w:color="auto" w:fill="EEECE1" w:themeFill="background2"/>
          </w:tcPr>
          <w:p w14:paraId="602D4C68" w14:textId="4327E9EF" w:rsidR="008373EF" w:rsidRPr="00CE09D9" w:rsidRDefault="008373EF" w:rsidP="008373EF">
            <w:pPr>
              <w:spacing w:before="120" w:after="120"/>
              <w:jc w:val="both"/>
              <w:rPr>
                <w:rFonts w:cs="Arial"/>
                <w:szCs w:val="22"/>
              </w:rPr>
            </w:pPr>
            <w:r w:rsidRPr="00CE09D9">
              <w:rPr>
                <w:rFonts w:cs="Arial"/>
                <w:color w:val="000000"/>
                <w:szCs w:val="22"/>
              </w:rPr>
              <w:t>General</w:t>
            </w:r>
          </w:p>
        </w:tc>
        <w:tc>
          <w:tcPr>
            <w:tcW w:w="3420" w:type="dxa"/>
            <w:shd w:val="clear" w:color="auto" w:fill="EEECE1" w:themeFill="background2"/>
          </w:tcPr>
          <w:p w14:paraId="790460BE" w14:textId="3A5A41BC" w:rsidR="008373EF" w:rsidRPr="00CE09D9" w:rsidRDefault="008373EF" w:rsidP="008373EF">
            <w:pPr>
              <w:spacing w:before="120" w:after="120"/>
              <w:rPr>
                <w:rFonts w:cs="Arial"/>
                <w:szCs w:val="22"/>
              </w:rPr>
            </w:pPr>
            <w:r w:rsidRPr="00CE09D9">
              <w:rPr>
                <w:rFonts w:cs="Arial"/>
                <w:color w:val="000000"/>
                <w:szCs w:val="22"/>
              </w:rPr>
              <w:t xml:space="preserve">What type </w:t>
            </w:r>
            <w:r w:rsidRPr="00CE09D9">
              <w:rPr>
                <w:rFonts w:cs="Arial"/>
                <w:szCs w:val="22"/>
              </w:rPr>
              <w:t>of employee questions are you supporting in-house today?  Please provide the top call dispositions that drive the majority of employee inquiries.   </w:t>
            </w:r>
          </w:p>
        </w:tc>
        <w:tc>
          <w:tcPr>
            <w:tcW w:w="5490" w:type="dxa"/>
            <w:shd w:val="clear" w:color="auto" w:fill="EEECE1" w:themeFill="background2"/>
          </w:tcPr>
          <w:p w14:paraId="117A6BCD" w14:textId="77777777" w:rsidR="008373EF" w:rsidRPr="00CE09D9" w:rsidRDefault="008373EF" w:rsidP="008373EF">
            <w:pPr>
              <w:spacing w:before="120" w:after="120"/>
              <w:rPr>
                <w:rFonts w:cs="Arial"/>
                <w:szCs w:val="22"/>
              </w:rPr>
            </w:pPr>
            <w:r w:rsidRPr="00CE09D9">
              <w:rPr>
                <w:rFonts w:cs="Arial"/>
                <w:szCs w:val="22"/>
              </w:rPr>
              <w:t xml:space="preserve">Currently, we categorize inbound calls under the following topics: </w:t>
            </w:r>
          </w:p>
          <w:p w14:paraId="6D85365F"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Account Balance</w:t>
            </w:r>
          </w:p>
          <w:p w14:paraId="321A75FB"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Additional Contributions</w:t>
            </w:r>
          </w:p>
          <w:p w14:paraId="52D091A9"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Annuitant Dividends</w:t>
            </w:r>
          </w:p>
          <w:p w14:paraId="48D6C944"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Appointments</w:t>
            </w:r>
          </w:p>
          <w:p w14:paraId="631F4B73"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Actuarial Reduction</w:t>
            </w:r>
          </w:p>
          <w:p w14:paraId="32D43B64"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Beneficiaries</w:t>
            </w:r>
          </w:p>
          <w:p w14:paraId="283F00A0"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Name/Address Changes</w:t>
            </w:r>
          </w:p>
          <w:p w14:paraId="74197E02"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Contact Info</w:t>
            </w:r>
          </w:p>
          <w:p w14:paraId="1C060A89"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Collections</w:t>
            </w:r>
          </w:p>
          <w:p w14:paraId="0EBBB5BE"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Contribution Rates</w:t>
            </w:r>
          </w:p>
          <w:p w14:paraId="2A7E17A4"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Creditable Service</w:t>
            </w:r>
          </w:p>
          <w:p w14:paraId="0C84E349"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Death Benefits</w:t>
            </w:r>
          </w:p>
          <w:p w14:paraId="1366B386"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Disability Benefits</w:t>
            </w:r>
          </w:p>
          <w:p w14:paraId="34652C8F"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Drop Off Forms</w:t>
            </w:r>
          </w:p>
          <w:p w14:paraId="11A29759"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Domestic Partner</w:t>
            </w:r>
          </w:p>
          <w:p w14:paraId="0858535F"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Divorce</w:t>
            </w:r>
          </w:p>
          <w:p w14:paraId="188B7F76"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Effective Rates</w:t>
            </w:r>
          </w:p>
          <w:p w14:paraId="55281503"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Health Insurance</w:t>
            </w:r>
          </w:p>
          <w:p w14:paraId="665E522A"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IVR Forms/Brochure Request</w:t>
            </w:r>
          </w:p>
          <w:p w14:paraId="04FEA0D0"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Identity Theft</w:t>
            </w:r>
          </w:p>
          <w:p w14:paraId="13031737"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New and Pending Legislation</w:t>
            </w:r>
          </w:p>
          <w:p w14:paraId="20329211"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Life Insurance</w:t>
            </w:r>
          </w:p>
          <w:p w14:paraId="44A9D60F"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Long Term Care</w:t>
            </w:r>
          </w:p>
          <w:p w14:paraId="0D6D116E"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MYETF Benefits</w:t>
            </w:r>
          </w:p>
          <w:p w14:paraId="2794F073"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Miscellaneous</w:t>
            </w:r>
          </w:p>
          <w:p w14:paraId="0F3A5197"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Military Service</w:t>
            </w:r>
          </w:p>
          <w:p w14:paraId="2CDB187E"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Prescriptions/Pharmacy</w:t>
            </w:r>
          </w:p>
          <w:p w14:paraId="36018411"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Monthly Payments</w:t>
            </w:r>
          </w:p>
          <w:p w14:paraId="76A3B846"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Rehired Annuitants</w:t>
            </w:r>
          </w:p>
          <w:p w14:paraId="292F7270"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Retirement Benefits</w:t>
            </w:r>
          </w:p>
          <w:p w14:paraId="7BA82618"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Reciprocity</w:t>
            </w:r>
          </w:p>
          <w:p w14:paraId="6A6A7EC9"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Returning to Work</w:t>
            </w:r>
          </w:p>
          <w:p w14:paraId="4911AC76"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Separation Benefits</w:t>
            </w:r>
          </w:p>
          <w:p w14:paraId="154CA64E"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Sick Leave</w:t>
            </w:r>
          </w:p>
          <w:p w14:paraId="7FD36AB2"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Statement of Benefits</w:t>
            </w:r>
          </w:p>
          <w:p w14:paraId="20B4E69E"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Service Purchase</w:t>
            </w:r>
          </w:p>
          <w:p w14:paraId="025A4A00"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Taxes</w:t>
            </w:r>
          </w:p>
          <w:p w14:paraId="21CC596E" w14:textId="77777777" w:rsidR="008373EF" w:rsidRPr="00CE09D9" w:rsidRDefault="008373EF" w:rsidP="008373EF">
            <w:pPr>
              <w:pStyle w:val="ListParagraph"/>
              <w:numPr>
                <w:ilvl w:val="0"/>
                <w:numId w:val="4"/>
              </w:numPr>
              <w:spacing w:before="120" w:after="120"/>
              <w:rPr>
                <w:rFonts w:cs="Arial"/>
                <w:szCs w:val="22"/>
              </w:rPr>
            </w:pPr>
            <w:r w:rsidRPr="00CE09D9">
              <w:rPr>
                <w:rFonts w:cs="Arial"/>
                <w:szCs w:val="22"/>
              </w:rPr>
              <w:t>Variable Participation</w:t>
            </w:r>
          </w:p>
          <w:p w14:paraId="21940AF0" w14:textId="0528194C" w:rsidR="008373EF" w:rsidRPr="00CE09D9" w:rsidRDefault="008373EF" w:rsidP="008373EF">
            <w:pPr>
              <w:spacing w:before="120" w:after="120"/>
              <w:rPr>
                <w:rFonts w:cs="Arial"/>
                <w:szCs w:val="22"/>
              </w:rPr>
            </w:pPr>
            <w:r w:rsidRPr="00CE09D9">
              <w:rPr>
                <w:rFonts w:cs="Arial"/>
                <w:szCs w:val="22"/>
              </w:rPr>
              <w:t>The top five topical areas across all inbound calls are:</w:t>
            </w:r>
          </w:p>
          <w:p w14:paraId="3C3D0838" w14:textId="77777777" w:rsidR="008373EF" w:rsidRPr="00CE09D9" w:rsidRDefault="008373EF" w:rsidP="008373EF">
            <w:pPr>
              <w:pStyle w:val="ListParagraph"/>
              <w:numPr>
                <w:ilvl w:val="0"/>
                <w:numId w:val="5"/>
              </w:numPr>
              <w:spacing w:before="120" w:after="120"/>
              <w:rPr>
                <w:rFonts w:cs="Arial"/>
                <w:szCs w:val="22"/>
              </w:rPr>
            </w:pPr>
            <w:r w:rsidRPr="00CE09D9">
              <w:rPr>
                <w:rFonts w:cs="Arial"/>
                <w:szCs w:val="22"/>
              </w:rPr>
              <w:t>Retirement Benefits</w:t>
            </w:r>
          </w:p>
          <w:p w14:paraId="4CA6FCE0" w14:textId="77777777" w:rsidR="008373EF" w:rsidRPr="00CE09D9" w:rsidRDefault="008373EF" w:rsidP="008373EF">
            <w:pPr>
              <w:pStyle w:val="ListParagraph"/>
              <w:numPr>
                <w:ilvl w:val="0"/>
                <w:numId w:val="5"/>
              </w:numPr>
              <w:spacing w:before="120" w:after="120"/>
              <w:rPr>
                <w:rFonts w:cs="Arial"/>
                <w:szCs w:val="22"/>
              </w:rPr>
            </w:pPr>
            <w:r w:rsidRPr="00CE09D9">
              <w:rPr>
                <w:rFonts w:cs="Arial"/>
                <w:szCs w:val="22"/>
              </w:rPr>
              <w:t>Health Insurance</w:t>
            </w:r>
          </w:p>
          <w:p w14:paraId="49DF5698" w14:textId="77777777" w:rsidR="008373EF" w:rsidRPr="00CE09D9" w:rsidRDefault="008373EF" w:rsidP="008373EF">
            <w:pPr>
              <w:pStyle w:val="ListParagraph"/>
              <w:numPr>
                <w:ilvl w:val="0"/>
                <w:numId w:val="5"/>
              </w:numPr>
              <w:spacing w:before="120" w:after="120"/>
              <w:rPr>
                <w:rFonts w:cs="Arial"/>
                <w:szCs w:val="22"/>
              </w:rPr>
            </w:pPr>
            <w:r w:rsidRPr="00CE09D9">
              <w:rPr>
                <w:rFonts w:cs="Arial"/>
                <w:szCs w:val="22"/>
              </w:rPr>
              <w:t>Monthly Payments</w:t>
            </w:r>
          </w:p>
          <w:p w14:paraId="414DC4DC" w14:textId="77777777" w:rsidR="008373EF" w:rsidRPr="00CE09D9" w:rsidRDefault="008373EF" w:rsidP="008373EF">
            <w:pPr>
              <w:pStyle w:val="ListParagraph"/>
              <w:numPr>
                <w:ilvl w:val="0"/>
                <w:numId w:val="5"/>
              </w:numPr>
              <w:spacing w:before="120" w:after="120"/>
              <w:rPr>
                <w:rFonts w:cs="Arial"/>
                <w:szCs w:val="22"/>
              </w:rPr>
            </w:pPr>
            <w:r w:rsidRPr="00CE09D9">
              <w:rPr>
                <w:rFonts w:cs="Arial"/>
                <w:szCs w:val="22"/>
              </w:rPr>
              <w:t>Death Benefits</w:t>
            </w:r>
          </w:p>
          <w:p w14:paraId="6E09EB11" w14:textId="77777777" w:rsidR="008373EF" w:rsidRPr="00CE09D9" w:rsidRDefault="008373EF" w:rsidP="008373EF">
            <w:pPr>
              <w:pStyle w:val="ListParagraph"/>
              <w:numPr>
                <w:ilvl w:val="0"/>
                <w:numId w:val="5"/>
              </w:numPr>
              <w:spacing w:before="120" w:after="120"/>
              <w:rPr>
                <w:rFonts w:cs="Arial"/>
                <w:szCs w:val="22"/>
              </w:rPr>
            </w:pPr>
            <w:r w:rsidRPr="00CE09D9">
              <w:rPr>
                <w:rFonts w:cs="Arial"/>
                <w:szCs w:val="22"/>
              </w:rPr>
              <w:t>Taxes</w:t>
            </w:r>
          </w:p>
          <w:p w14:paraId="42991218" w14:textId="11DCF924" w:rsidR="008373EF" w:rsidRPr="00CE09D9" w:rsidRDefault="008373EF" w:rsidP="008373EF">
            <w:pPr>
              <w:spacing w:before="120" w:after="120"/>
              <w:rPr>
                <w:rFonts w:cs="Arial"/>
                <w:szCs w:val="22"/>
              </w:rPr>
            </w:pPr>
            <w:bookmarkStart w:id="6" w:name="_GoBack"/>
            <w:bookmarkEnd w:id="6"/>
            <w:r w:rsidRPr="00CE09D9">
              <w:rPr>
                <w:rFonts w:cs="Arial"/>
                <w:szCs w:val="22"/>
              </w:rPr>
              <w:t>The top five topical areas across insurance-related inbound calls are:</w:t>
            </w:r>
          </w:p>
          <w:p w14:paraId="5234F659" w14:textId="77777777" w:rsidR="008373EF" w:rsidRPr="00CE09D9" w:rsidRDefault="008373EF" w:rsidP="008373EF">
            <w:pPr>
              <w:pStyle w:val="ListParagraph"/>
              <w:numPr>
                <w:ilvl w:val="0"/>
                <w:numId w:val="6"/>
              </w:numPr>
              <w:spacing w:before="120" w:after="120"/>
              <w:rPr>
                <w:rFonts w:cs="Arial"/>
                <w:szCs w:val="22"/>
              </w:rPr>
            </w:pPr>
            <w:r w:rsidRPr="00CE09D9">
              <w:rPr>
                <w:rFonts w:cs="Arial"/>
                <w:szCs w:val="22"/>
              </w:rPr>
              <w:t>Health Insurance</w:t>
            </w:r>
          </w:p>
          <w:p w14:paraId="1C4CF06B" w14:textId="77777777" w:rsidR="008373EF" w:rsidRPr="00CE09D9" w:rsidRDefault="008373EF" w:rsidP="008373EF">
            <w:pPr>
              <w:pStyle w:val="ListParagraph"/>
              <w:numPr>
                <w:ilvl w:val="0"/>
                <w:numId w:val="6"/>
              </w:numPr>
              <w:spacing w:before="120" w:after="120"/>
              <w:rPr>
                <w:rFonts w:cs="Arial"/>
                <w:szCs w:val="22"/>
              </w:rPr>
            </w:pPr>
            <w:r w:rsidRPr="00CE09D9">
              <w:rPr>
                <w:rFonts w:cs="Arial"/>
                <w:szCs w:val="22"/>
              </w:rPr>
              <w:t>Life Insurance</w:t>
            </w:r>
          </w:p>
          <w:p w14:paraId="1142089D" w14:textId="77777777" w:rsidR="008373EF" w:rsidRPr="00CE09D9" w:rsidRDefault="008373EF" w:rsidP="008373EF">
            <w:pPr>
              <w:pStyle w:val="ListParagraph"/>
              <w:numPr>
                <w:ilvl w:val="0"/>
                <w:numId w:val="6"/>
              </w:numPr>
              <w:spacing w:before="120" w:after="120"/>
              <w:rPr>
                <w:rFonts w:cs="Arial"/>
                <w:szCs w:val="22"/>
              </w:rPr>
            </w:pPr>
            <w:r w:rsidRPr="00CE09D9">
              <w:rPr>
                <w:rFonts w:cs="Arial"/>
                <w:szCs w:val="22"/>
              </w:rPr>
              <w:t>Sick Leave</w:t>
            </w:r>
          </w:p>
          <w:p w14:paraId="773387B2" w14:textId="77777777" w:rsidR="008373EF" w:rsidRPr="00CE09D9" w:rsidRDefault="008373EF" w:rsidP="008373EF">
            <w:pPr>
              <w:pStyle w:val="ListParagraph"/>
              <w:numPr>
                <w:ilvl w:val="0"/>
                <w:numId w:val="6"/>
              </w:numPr>
              <w:spacing w:before="120" w:after="120"/>
              <w:rPr>
                <w:rFonts w:cs="Arial"/>
                <w:szCs w:val="22"/>
              </w:rPr>
            </w:pPr>
            <w:r w:rsidRPr="00CE09D9">
              <w:rPr>
                <w:rFonts w:cs="Arial"/>
                <w:szCs w:val="22"/>
              </w:rPr>
              <w:t>Prescriptions/Pharmacy</w:t>
            </w:r>
          </w:p>
          <w:p w14:paraId="3800630B" w14:textId="7E15AC20" w:rsidR="008373EF" w:rsidRPr="00CE09D9" w:rsidRDefault="008373EF" w:rsidP="008373EF">
            <w:pPr>
              <w:pStyle w:val="ListParagraph"/>
              <w:numPr>
                <w:ilvl w:val="0"/>
                <w:numId w:val="6"/>
              </w:numPr>
              <w:spacing w:before="120" w:after="120"/>
              <w:rPr>
                <w:rFonts w:cs="Arial"/>
                <w:szCs w:val="22"/>
              </w:rPr>
            </w:pPr>
            <w:r w:rsidRPr="00CE09D9">
              <w:rPr>
                <w:rFonts w:cs="Arial"/>
                <w:szCs w:val="22"/>
              </w:rPr>
              <w:t>MYETF Benefits (MYETF or MEBS is our existing health insurance system)</w:t>
            </w:r>
          </w:p>
        </w:tc>
      </w:tr>
      <w:tr w:rsidR="008373EF" w:rsidRPr="00520510" w14:paraId="3BB205FA" w14:textId="77777777" w:rsidTr="00520510">
        <w:tc>
          <w:tcPr>
            <w:tcW w:w="720" w:type="dxa"/>
            <w:shd w:val="clear" w:color="auto" w:fill="DBE5F1" w:themeFill="accent1" w:themeFillTint="33"/>
          </w:tcPr>
          <w:p w14:paraId="324E5CD5" w14:textId="147FE637" w:rsidR="008373EF" w:rsidRPr="00CE09D9" w:rsidRDefault="008373EF" w:rsidP="008373EF">
            <w:pPr>
              <w:spacing w:before="120" w:after="120"/>
              <w:jc w:val="both"/>
              <w:rPr>
                <w:rFonts w:cs="Arial"/>
                <w:szCs w:val="22"/>
              </w:rPr>
            </w:pPr>
            <w:bookmarkStart w:id="7" w:name="_Hlk36015746"/>
            <w:bookmarkEnd w:id="5"/>
            <w:r w:rsidRPr="00CE09D9">
              <w:rPr>
                <w:rFonts w:cs="Arial"/>
                <w:color w:val="000000" w:themeColor="text1"/>
                <w:szCs w:val="22"/>
              </w:rPr>
              <w:t>Q8</w:t>
            </w:r>
          </w:p>
        </w:tc>
        <w:tc>
          <w:tcPr>
            <w:tcW w:w="1710" w:type="dxa"/>
            <w:shd w:val="clear" w:color="auto" w:fill="DBE5F1" w:themeFill="accent1" w:themeFillTint="33"/>
          </w:tcPr>
          <w:p w14:paraId="034C2815" w14:textId="30CFCE1A" w:rsidR="008373EF" w:rsidRPr="00CE09D9" w:rsidRDefault="008373EF" w:rsidP="008373EF">
            <w:pPr>
              <w:spacing w:before="120" w:after="120"/>
              <w:jc w:val="both"/>
              <w:rPr>
                <w:rFonts w:cs="Arial"/>
                <w:szCs w:val="22"/>
              </w:rPr>
            </w:pPr>
            <w:r w:rsidRPr="00CE09D9">
              <w:rPr>
                <w:rFonts w:cs="Arial"/>
                <w:color w:val="000000"/>
                <w:szCs w:val="22"/>
              </w:rPr>
              <w:t xml:space="preserve">General </w:t>
            </w:r>
          </w:p>
        </w:tc>
        <w:tc>
          <w:tcPr>
            <w:tcW w:w="1710" w:type="dxa"/>
            <w:shd w:val="clear" w:color="auto" w:fill="DBE5F1" w:themeFill="accent1" w:themeFillTint="33"/>
          </w:tcPr>
          <w:p w14:paraId="1BAA69CD" w14:textId="5C1F2AB1" w:rsidR="008373EF" w:rsidRPr="00CE09D9" w:rsidRDefault="008373EF" w:rsidP="008373EF">
            <w:pPr>
              <w:spacing w:before="120" w:after="120"/>
              <w:jc w:val="both"/>
              <w:rPr>
                <w:rFonts w:cs="Arial"/>
                <w:szCs w:val="22"/>
              </w:rPr>
            </w:pPr>
            <w:r w:rsidRPr="00CE09D9">
              <w:rPr>
                <w:rFonts w:cs="Arial"/>
                <w:color w:val="000000"/>
                <w:szCs w:val="22"/>
              </w:rPr>
              <w:t>General</w:t>
            </w:r>
          </w:p>
        </w:tc>
        <w:tc>
          <w:tcPr>
            <w:tcW w:w="3420" w:type="dxa"/>
            <w:shd w:val="clear" w:color="auto" w:fill="DBE5F1" w:themeFill="accent1" w:themeFillTint="33"/>
          </w:tcPr>
          <w:p w14:paraId="7E5C0243" w14:textId="77777777" w:rsidR="008373EF" w:rsidRPr="00CE09D9" w:rsidRDefault="008373EF" w:rsidP="008373EF">
            <w:pPr>
              <w:spacing w:before="120" w:after="120"/>
              <w:rPr>
                <w:rFonts w:cs="Arial"/>
                <w:color w:val="000000"/>
                <w:szCs w:val="22"/>
              </w:rPr>
            </w:pPr>
            <w:r w:rsidRPr="00CE09D9">
              <w:rPr>
                <w:rFonts w:cs="Arial"/>
                <w:color w:val="000000"/>
                <w:szCs w:val="22"/>
              </w:rPr>
              <w:t>We want to ensure that our proposal is as closely aligned to the State’s scope requirements as possible. A big part of the fee consideration surrounds the integration expectations, both inbound and outbound. Any additional clarity that you can provide as we finalize our review of documentation and initial responses would help ensure that our quote is as accurate as possible for the State and the expected scope. We will be happy to provide our assumptions, however the detail below is ideal to align our proposal to scope requirements:</w:t>
            </w:r>
          </w:p>
          <w:p w14:paraId="2ACFC2E5" w14:textId="77777777" w:rsidR="008373EF" w:rsidRPr="00CE09D9" w:rsidRDefault="008373EF" w:rsidP="008373EF">
            <w:pPr>
              <w:spacing w:before="120" w:after="120"/>
              <w:rPr>
                <w:rFonts w:cs="Arial"/>
                <w:color w:val="000000"/>
                <w:szCs w:val="22"/>
              </w:rPr>
            </w:pPr>
          </w:p>
          <w:p w14:paraId="7F749D16" w14:textId="77777777" w:rsidR="008373EF" w:rsidRPr="00CE09D9" w:rsidRDefault="008373EF" w:rsidP="008373EF">
            <w:pPr>
              <w:spacing w:before="120" w:after="120"/>
              <w:rPr>
                <w:rFonts w:cs="Arial"/>
                <w:color w:val="000000"/>
                <w:szCs w:val="22"/>
              </w:rPr>
            </w:pPr>
            <w:r w:rsidRPr="00CE09D9">
              <w:rPr>
                <w:rFonts w:cs="Arial"/>
                <w:color w:val="000000"/>
                <w:szCs w:val="22"/>
              </w:rPr>
              <w:t xml:space="preserve">a. Please specify how many carrier/vendor EDI files (inbound and outbound) we should assume within our pricing proposal. Please state the integration direction, benefit types per file, vendor. </w:t>
            </w:r>
          </w:p>
          <w:p w14:paraId="37BB434A" w14:textId="77777777" w:rsidR="008373EF" w:rsidRPr="00CE09D9" w:rsidRDefault="008373EF" w:rsidP="008373EF">
            <w:pPr>
              <w:spacing w:before="120" w:after="120"/>
              <w:rPr>
                <w:rFonts w:cs="Arial"/>
                <w:color w:val="000000"/>
                <w:szCs w:val="22"/>
              </w:rPr>
            </w:pPr>
            <w:r w:rsidRPr="00CE09D9">
              <w:rPr>
                <w:rFonts w:cs="Arial"/>
                <w:color w:val="000000"/>
                <w:szCs w:val="22"/>
              </w:rPr>
              <w:t>b. Please specify how many inbound files for demographic data we should assume within our pricing proposal</w:t>
            </w:r>
          </w:p>
          <w:p w14:paraId="65BF5FEF" w14:textId="77777777" w:rsidR="008373EF" w:rsidRPr="00CE09D9" w:rsidRDefault="008373EF" w:rsidP="008373EF">
            <w:pPr>
              <w:spacing w:before="120" w:after="120"/>
              <w:rPr>
                <w:rFonts w:cs="Arial"/>
                <w:color w:val="000000"/>
                <w:szCs w:val="22"/>
              </w:rPr>
            </w:pPr>
            <w:r w:rsidRPr="00CE09D9">
              <w:rPr>
                <w:rFonts w:cs="Arial"/>
                <w:color w:val="000000"/>
                <w:szCs w:val="22"/>
              </w:rPr>
              <w:t>c. Please clarify how many outbound payroll deduction files will be required. To what system(s) will the payroll deduction data be sent?</w:t>
            </w:r>
          </w:p>
          <w:p w14:paraId="4A58CC65" w14:textId="05598C54" w:rsidR="008373EF" w:rsidRPr="00CE09D9" w:rsidRDefault="008373EF" w:rsidP="008373EF">
            <w:pPr>
              <w:spacing w:before="120" w:after="120"/>
              <w:rPr>
                <w:rFonts w:cs="Arial"/>
                <w:color w:val="000000"/>
                <w:szCs w:val="22"/>
              </w:rPr>
            </w:pPr>
            <w:r w:rsidRPr="00CE09D9">
              <w:rPr>
                <w:rFonts w:cs="Arial"/>
                <w:color w:val="000000"/>
                <w:szCs w:val="22"/>
              </w:rPr>
              <w:t xml:space="preserve">d. Please provide the same detail as it relates to pension file expectations. We will be happy to provide our capabilities supported today across similar clients, but would like to understand current state integration volume and type.  </w:t>
            </w:r>
          </w:p>
        </w:tc>
        <w:tc>
          <w:tcPr>
            <w:tcW w:w="5490" w:type="dxa"/>
            <w:shd w:val="clear" w:color="auto" w:fill="DBE5F1" w:themeFill="accent1" w:themeFillTint="33"/>
          </w:tcPr>
          <w:p w14:paraId="4D159273" w14:textId="5813A2E6" w:rsidR="008373EF" w:rsidRPr="00CE09D9" w:rsidRDefault="008373EF" w:rsidP="008373EF">
            <w:pPr>
              <w:pStyle w:val="ListParagraph"/>
              <w:numPr>
                <w:ilvl w:val="0"/>
                <w:numId w:val="7"/>
              </w:numPr>
              <w:spacing w:before="120" w:after="120"/>
              <w:ind w:left="340"/>
              <w:rPr>
                <w:rFonts w:cs="Arial"/>
                <w:szCs w:val="22"/>
              </w:rPr>
            </w:pPr>
            <w:r w:rsidRPr="00CE09D9">
              <w:rPr>
                <w:rFonts w:cs="Arial"/>
                <w:szCs w:val="22"/>
              </w:rPr>
              <w:t>As provided in the response to Q25 from the first round of vendor questions, the number and type of future integrations will depend on multiple factors including the vendor system capabilities as well as how members and employers will utilize the system. Typically, ETF is supporting approximately 12-14 health insurance carriers at any one time, plus additional carriers for life, ICI, supplemental benefits, etc. However, the exact number of carriers can change from year-to-year as insurance offerings are rebid and carriers join and/or leave our programs.</w:t>
            </w:r>
          </w:p>
          <w:p w14:paraId="33455BE2" w14:textId="59E86F55" w:rsidR="008373EF" w:rsidRPr="00CE09D9" w:rsidRDefault="008373EF" w:rsidP="008373EF">
            <w:pPr>
              <w:spacing w:before="120" w:after="120"/>
              <w:ind w:left="340"/>
              <w:rPr>
                <w:rFonts w:cs="Arial"/>
                <w:szCs w:val="22"/>
              </w:rPr>
            </w:pPr>
            <w:r w:rsidRPr="00CE09D9">
              <w:rPr>
                <w:rFonts w:cs="Arial"/>
                <w:szCs w:val="22"/>
              </w:rPr>
              <w:t xml:space="preserve">Due to these factors, we are unable to provide a more definitive answer at this time regarding the number and type of future integrations. </w:t>
            </w:r>
          </w:p>
          <w:p w14:paraId="73216128" w14:textId="77777777" w:rsidR="008373EF" w:rsidRPr="00CE09D9" w:rsidRDefault="008373EF" w:rsidP="008373EF">
            <w:pPr>
              <w:spacing w:before="120" w:after="120"/>
              <w:ind w:left="340"/>
              <w:rPr>
                <w:rFonts w:cs="Arial"/>
                <w:szCs w:val="22"/>
              </w:rPr>
            </w:pPr>
            <w:r w:rsidRPr="00CE09D9">
              <w:rPr>
                <w:rFonts w:cs="Arial"/>
                <w:szCs w:val="22"/>
              </w:rPr>
              <w:t xml:space="preserve">We encourage Proposers who typically use such details for their pricing proposals to break down their cost information into more granular details, if possible. For example, perhaps the Proposer can provide a per integration cost, costing for different ranges of integration counts, or other appropriate and informative cost detailing. </w:t>
            </w:r>
          </w:p>
          <w:p w14:paraId="61F1E294" w14:textId="428A9DFE" w:rsidR="008373EF" w:rsidRPr="00CE09D9" w:rsidRDefault="008373EF" w:rsidP="008373EF">
            <w:pPr>
              <w:pStyle w:val="ListParagraph"/>
              <w:numPr>
                <w:ilvl w:val="0"/>
                <w:numId w:val="7"/>
              </w:numPr>
              <w:spacing w:before="120" w:after="120"/>
              <w:ind w:left="340"/>
              <w:rPr>
                <w:rFonts w:cs="Arial"/>
                <w:szCs w:val="22"/>
              </w:rPr>
            </w:pPr>
            <w:r w:rsidRPr="00CE09D9">
              <w:rPr>
                <w:rFonts w:cs="Arial"/>
                <w:szCs w:val="22"/>
              </w:rPr>
              <w:t>As provided in the response to Q25 from the first round of vendor questions, indicative demographic data will be maintained in ETF's Master Data Management (MDM) solution and distributed to systems, such as the new IAS, that need it. Distribution methods may vary depending on vendor system capabilities.</w:t>
            </w:r>
          </w:p>
          <w:p w14:paraId="5ADBF882" w14:textId="77777777" w:rsidR="008373EF" w:rsidRPr="00CE09D9" w:rsidRDefault="008373EF" w:rsidP="008373EF">
            <w:pPr>
              <w:pStyle w:val="ListParagraph"/>
              <w:spacing w:before="120" w:after="120"/>
              <w:ind w:left="340"/>
              <w:rPr>
                <w:rFonts w:cs="Arial"/>
                <w:szCs w:val="22"/>
              </w:rPr>
            </w:pPr>
          </w:p>
          <w:p w14:paraId="4CE7FE31" w14:textId="70864D29" w:rsidR="008373EF" w:rsidRPr="00CE09D9" w:rsidRDefault="008373EF" w:rsidP="008373EF">
            <w:pPr>
              <w:pStyle w:val="ListParagraph"/>
              <w:numPr>
                <w:ilvl w:val="0"/>
                <w:numId w:val="7"/>
              </w:numPr>
              <w:spacing w:before="120" w:after="120"/>
              <w:ind w:left="340"/>
              <w:rPr>
                <w:rFonts w:cs="Arial"/>
                <w:szCs w:val="22"/>
              </w:rPr>
            </w:pPr>
            <w:r w:rsidRPr="00CE09D9">
              <w:rPr>
                <w:rFonts w:cs="Arial"/>
                <w:szCs w:val="22"/>
              </w:rPr>
              <w:t xml:space="preserve">As provided in the response to Q25 from the first round of vendor questions, </w:t>
            </w:r>
            <w:r w:rsidRPr="00CE09D9">
              <w:rPr>
                <w:rFonts w:cs="Arial"/>
                <w:color w:val="000000"/>
                <w:szCs w:val="22"/>
              </w:rPr>
              <w:t xml:space="preserve">currently, the three (3) largest state agency employers use file transfer processes to electronically submit enrollment and related data from their internal enrollment systems to ETF. We send response files back to them with data corrections for their records. No payroll deduction files are currently exchanged. All other employers manually enter enrollment information into our systems. </w:t>
            </w:r>
          </w:p>
          <w:p w14:paraId="29F36900" w14:textId="77777777" w:rsidR="008373EF" w:rsidRPr="00CE09D9" w:rsidRDefault="008373EF" w:rsidP="008373EF">
            <w:pPr>
              <w:spacing w:before="120" w:after="120"/>
              <w:ind w:left="340"/>
              <w:rPr>
                <w:rFonts w:cs="Arial"/>
                <w:color w:val="000000"/>
                <w:szCs w:val="22"/>
              </w:rPr>
            </w:pPr>
            <w:r w:rsidRPr="00CE09D9">
              <w:rPr>
                <w:rFonts w:cs="Arial"/>
                <w:color w:val="000000"/>
                <w:szCs w:val="22"/>
              </w:rPr>
              <w:t xml:space="preserve">Going forward, we envision that all enrollment will occur within the IAS, either entered directly by the affected member or, for certain populations, entered by an employer and/or ETF staff based on paper enrollment forms. Enrollment and payroll deduction data will need to interface back to employers. Vendors must have the capability to interface this data back to employers via both outbound integration files and electronic reports, as employer needs and system capabilities will vary. </w:t>
            </w:r>
          </w:p>
          <w:p w14:paraId="218239C0" w14:textId="0374C44D" w:rsidR="008373EF" w:rsidRPr="00CE09D9" w:rsidRDefault="008373EF" w:rsidP="008373EF">
            <w:pPr>
              <w:spacing w:before="120" w:after="120"/>
              <w:ind w:left="340"/>
              <w:rPr>
                <w:rFonts w:cs="Arial"/>
                <w:color w:val="000000"/>
                <w:szCs w:val="22"/>
              </w:rPr>
            </w:pPr>
            <w:r w:rsidRPr="00CE09D9">
              <w:rPr>
                <w:rFonts w:cs="Arial"/>
                <w:color w:val="000000"/>
                <w:szCs w:val="22"/>
              </w:rPr>
              <w:t xml:space="preserve">Unfortunately, we are unable to provide you with a more definitive answer at this time, as it will depend on the selected Proposer’s system functionality and how that meshes with our employer needs and system capabilities. </w:t>
            </w:r>
          </w:p>
          <w:p w14:paraId="66B0605E" w14:textId="03FB2322" w:rsidR="008373EF" w:rsidRPr="00CE09D9" w:rsidRDefault="008373EF" w:rsidP="008373EF">
            <w:pPr>
              <w:spacing w:before="120" w:after="120"/>
              <w:ind w:left="340"/>
              <w:rPr>
                <w:rFonts w:cs="Arial"/>
                <w:szCs w:val="22"/>
              </w:rPr>
            </w:pPr>
            <w:r w:rsidRPr="00CE09D9">
              <w:rPr>
                <w:rFonts w:cs="Arial"/>
                <w:szCs w:val="22"/>
              </w:rPr>
              <w:t xml:space="preserve">We encourage Proposers who typically use such details for their pricing proposals to break down their cost information into more granular details, if possible. For example, perhaps the Proposer can provide a per outbound file cost, costing for different ranges of file counts, or other appropriate and informative cost detailing. </w:t>
            </w:r>
          </w:p>
          <w:p w14:paraId="547F73FE" w14:textId="77777777" w:rsidR="008373EF" w:rsidRPr="00CE09D9" w:rsidRDefault="008373EF" w:rsidP="008373EF">
            <w:pPr>
              <w:spacing w:before="120" w:after="120"/>
              <w:ind w:left="340"/>
              <w:rPr>
                <w:rFonts w:cs="Arial"/>
                <w:szCs w:val="22"/>
              </w:rPr>
            </w:pPr>
          </w:p>
          <w:p w14:paraId="4C34FF9F" w14:textId="06CE36BE" w:rsidR="008373EF" w:rsidRPr="00CE09D9" w:rsidRDefault="008373EF" w:rsidP="008373EF">
            <w:pPr>
              <w:pStyle w:val="ListParagraph"/>
              <w:numPr>
                <w:ilvl w:val="0"/>
                <w:numId w:val="7"/>
              </w:numPr>
              <w:spacing w:before="120" w:after="120"/>
              <w:ind w:left="340"/>
              <w:rPr>
                <w:rFonts w:cs="Arial"/>
                <w:szCs w:val="22"/>
              </w:rPr>
            </w:pPr>
            <w:r w:rsidRPr="00CE09D9">
              <w:rPr>
                <w:rFonts w:cs="Arial"/>
                <w:szCs w:val="22"/>
              </w:rPr>
              <w:t xml:space="preserve">Today, MEBS, our existing health insurance system, interfaces health insurance enrollment and payroll deduction data for approximately 10,000 retirees on a monthly basis with our current annuity payroll system. This number is fluid and can vary from month to month. In addition, it does not include payroll deduction data for other (non-health) insurance benefits in which a retiree may participate. </w:t>
            </w:r>
          </w:p>
          <w:p w14:paraId="7AB0D698" w14:textId="20F47999" w:rsidR="008373EF" w:rsidRPr="00CE09D9" w:rsidRDefault="008373EF" w:rsidP="008373EF">
            <w:pPr>
              <w:spacing w:before="120" w:after="120"/>
              <w:ind w:left="340"/>
              <w:rPr>
                <w:rFonts w:cs="Arial"/>
                <w:szCs w:val="22"/>
              </w:rPr>
            </w:pPr>
            <w:r w:rsidRPr="00CE09D9">
              <w:rPr>
                <w:rFonts w:cs="Arial"/>
                <w:color w:val="000000"/>
                <w:szCs w:val="22"/>
              </w:rPr>
              <w:t xml:space="preserve">ETF envisions that all future insurance enrollment and administration will occur within the new IAS. Therefore, all insurance benefit program enrollment and payroll deduction data for retirees will need to interface back to our current annuity payroll system, and ultimately, to a new pension administration system. The format for this data transfer will </w:t>
            </w:r>
            <w:r w:rsidRPr="00CE09D9">
              <w:rPr>
                <w:rFonts w:cs="Arial"/>
                <w:szCs w:val="22"/>
              </w:rPr>
              <w:t>depend on the selected vendor system.</w:t>
            </w:r>
          </w:p>
          <w:p w14:paraId="4BA608F2" w14:textId="3D21FA91" w:rsidR="008373EF" w:rsidRPr="00CE09D9" w:rsidRDefault="008373EF" w:rsidP="008373EF">
            <w:pPr>
              <w:spacing w:before="120" w:after="120"/>
              <w:rPr>
                <w:rFonts w:cs="Arial"/>
                <w:szCs w:val="22"/>
              </w:rPr>
            </w:pPr>
          </w:p>
        </w:tc>
      </w:tr>
      <w:tr w:rsidR="008373EF" w:rsidRPr="00370D1C" w14:paraId="4DAC1272" w14:textId="77777777" w:rsidTr="00520510">
        <w:tc>
          <w:tcPr>
            <w:tcW w:w="720" w:type="dxa"/>
            <w:shd w:val="clear" w:color="auto" w:fill="EEECE1" w:themeFill="background2"/>
          </w:tcPr>
          <w:p w14:paraId="379C2E66" w14:textId="1275DDEB" w:rsidR="008373EF" w:rsidRPr="00CE09D9" w:rsidRDefault="008373EF" w:rsidP="008373EF">
            <w:pPr>
              <w:spacing w:before="120" w:after="120"/>
              <w:jc w:val="both"/>
              <w:rPr>
                <w:rFonts w:cs="Arial"/>
                <w:szCs w:val="22"/>
              </w:rPr>
            </w:pPr>
            <w:bookmarkStart w:id="8" w:name="_Hlk36015777"/>
            <w:bookmarkEnd w:id="7"/>
            <w:r w:rsidRPr="00CE09D9">
              <w:rPr>
                <w:rFonts w:cs="Arial"/>
                <w:color w:val="000000" w:themeColor="text1"/>
                <w:szCs w:val="22"/>
              </w:rPr>
              <w:t>Q9</w:t>
            </w:r>
          </w:p>
        </w:tc>
        <w:tc>
          <w:tcPr>
            <w:tcW w:w="1710" w:type="dxa"/>
            <w:shd w:val="clear" w:color="auto" w:fill="EEECE1" w:themeFill="background2"/>
          </w:tcPr>
          <w:p w14:paraId="7DACCC14" w14:textId="7E60D95D" w:rsidR="008373EF" w:rsidRPr="00CE09D9" w:rsidRDefault="008373EF" w:rsidP="008373EF">
            <w:pPr>
              <w:spacing w:before="120" w:after="120"/>
              <w:jc w:val="both"/>
              <w:rPr>
                <w:rFonts w:cs="Arial"/>
                <w:szCs w:val="22"/>
              </w:rPr>
            </w:pPr>
            <w:r w:rsidRPr="00CE09D9">
              <w:rPr>
                <w:rFonts w:cs="Arial"/>
                <w:color w:val="000000"/>
                <w:szCs w:val="22"/>
              </w:rPr>
              <w:t>Addendum 3 RFP ETI0050 - 04.06.2020 (1)</w:t>
            </w:r>
          </w:p>
        </w:tc>
        <w:tc>
          <w:tcPr>
            <w:tcW w:w="1710" w:type="dxa"/>
            <w:shd w:val="clear" w:color="auto" w:fill="EEECE1" w:themeFill="background2"/>
          </w:tcPr>
          <w:p w14:paraId="691E10FA" w14:textId="121FCD68" w:rsidR="008373EF" w:rsidRPr="00CE09D9" w:rsidRDefault="008373EF" w:rsidP="008373EF">
            <w:pPr>
              <w:spacing w:before="120" w:after="120"/>
              <w:jc w:val="both"/>
              <w:rPr>
                <w:rFonts w:cs="Arial"/>
                <w:szCs w:val="22"/>
              </w:rPr>
            </w:pPr>
            <w:r w:rsidRPr="00CE09D9">
              <w:rPr>
                <w:rFonts w:cs="Arial"/>
                <w:color w:val="000000"/>
                <w:szCs w:val="22"/>
              </w:rPr>
              <w:t>Q56</w:t>
            </w:r>
          </w:p>
        </w:tc>
        <w:tc>
          <w:tcPr>
            <w:tcW w:w="3420" w:type="dxa"/>
            <w:shd w:val="clear" w:color="auto" w:fill="EEECE1" w:themeFill="background2"/>
          </w:tcPr>
          <w:p w14:paraId="417E2E72" w14:textId="4ECF17CC" w:rsidR="008373EF" w:rsidRPr="00CE09D9" w:rsidRDefault="008373EF" w:rsidP="008373EF">
            <w:pPr>
              <w:spacing w:before="120" w:after="120"/>
              <w:rPr>
                <w:rFonts w:cs="Arial"/>
                <w:szCs w:val="22"/>
              </w:rPr>
            </w:pPr>
            <w:r w:rsidRPr="00CE09D9">
              <w:rPr>
                <w:rFonts w:cs="Arial"/>
                <w:color w:val="000000"/>
                <w:szCs w:val="22"/>
              </w:rPr>
              <w:t>Will ETF continue to be the system of record post-employment for things such as address changes?</w:t>
            </w:r>
          </w:p>
        </w:tc>
        <w:tc>
          <w:tcPr>
            <w:tcW w:w="5490" w:type="dxa"/>
            <w:shd w:val="clear" w:color="auto" w:fill="EEECE1" w:themeFill="background2"/>
          </w:tcPr>
          <w:p w14:paraId="20C8AD46" w14:textId="5223D8AE" w:rsidR="008373EF" w:rsidRPr="00CE09D9" w:rsidRDefault="008373EF" w:rsidP="008373EF">
            <w:pPr>
              <w:rPr>
                <w:rFonts w:cs="Arial"/>
                <w:szCs w:val="22"/>
              </w:rPr>
            </w:pPr>
            <w:r w:rsidRPr="00CE09D9">
              <w:rPr>
                <w:rFonts w:cs="Arial"/>
                <w:szCs w:val="22"/>
              </w:rPr>
              <w:t>Yes, ETF intends that person demographics and other types of common data utilized by multiple applications at ETF will be centrally managed in a Master Data Management solution at ETF. See responses to questions Q20 and Q121 from the first round of vendor questions for further details. ETF envisions the new IAS to only be the system of record for insurance-related data.</w:t>
            </w:r>
          </w:p>
        </w:tc>
      </w:tr>
      <w:tr w:rsidR="008373EF" w:rsidRPr="00090B89" w14:paraId="5E721182" w14:textId="77777777" w:rsidTr="00520510">
        <w:tc>
          <w:tcPr>
            <w:tcW w:w="720" w:type="dxa"/>
            <w:shd w:val="clear" w:color="auto" w:fill="DBE5F1" w:themeFill="accent1" w:themeFillTint="33"/>
          </w:tcPr>
          <w:p w14:paraId="5D4C8C35" w14:textId="5F94F093" w:rsidR="008373EF" w:rsidRPr="00CE09D9" w:rsidRDefault="008373EF" w:rsidP="008373EF">
            <w:pPr>
              <w:spacing w:before="120" w:after="120"/>
              <w:jc w:val="both"/>
              <w:rPr>
                <w:rFonts w:cs="Arial"/>
                <w:szCs w:val="22"/>
              </w:rPr>
            </w:pPr>
            <w:bookmarkStart w:id="9" w:name="_Hlk35285015"/>
            <w:bookmarkEnd w:id="8"/>
            <w:r w:rsidRPr="00CE09D9">
              <w:rPr>
                <w:rFonts w:cs="Arial"/>
                <w:color w:val="000000" w:themeColor="text1"/>
                <w:szCs w:val="22"/>
              </w:rPr>
              <w:t>Q10</w:t>
            </w:r>
          </w:p>
        </w:tc>
        <w:tc>
          <w:tcPr>
            <w:tcW w:w="1710" w:type="dxa"/>
            <w:shd w:val="clear" w:color="auto" w:fill="DBE5F1" w:themeFill="accent1" w:themeFillTint="33"/>
          </w:tcPr>
          <w:p w14:paraId="5CABC390" w14:textId="355F4829" w:rsidR="008373EF" w:rsidRPr="00CE09D9" w:rsidRDefault="008373EF" w:rsidP="008373EF">
            <w:pPr>
              <w:spacing w:before="120" w:after="120"/>
              <w:jc w:val="both"/>
              <w:rPr>
                <w:rFonts w:cs="Arial"/>
                <w:szCs w:val="22"/>
              </w:rPr>
            </w:pPr>
            <w:r w:rsidRPr="00CE09D9">
              <w:rPr>
                <w:rFonts w:cs="Arial"/>
                <w:color w:val="000000"/>
                <w:szCs w:val="22"/>
              </w:rPr>
              <w:t>Addendum 3 RFP ETI0050 - 04.06.2020 (1)</w:t>
            </w:r>
          </w:p>
        </w:tc>
        <w:tc>
          <w:tcPr>
            <w:tcW w:w="1710" w:type="dxa"/>
            <w:shd w:val="clear" w:color="auto" w:fill="DBE5F1" w:themeFill="accent1" w:themeFillTint="33"/>
          </w:tcPr>
          <w:p w14:paraId="447A643F" w14:textId="3B7E432D" w:rsidR="008373EF" w:rsidRPr="00CE09D9" w:rsidRDefault="008373EF" w:rsidP="008373EF">
            <w:pPr>
              <w:spacing w:before="120" w:after="120"/>
              <w:jc w:val="both"/>
              <w:rPr>
                <w:rFonts w:cs="Arial"/>
                <w:szCs w:val="22"/>
              </w:rPr>
            </w:pPr>
            <w:r w:rsidRPr="00CE09D9">
              <w:rPr>
                <w:rFonts w:cs="Arial"/>
                <w:color w:val="000000"/>
                <w:szCs w:val="22"/>
              </w:rPr>
              <w:t>Q51</w:t>
            </w:r>
          </w:p>
        </w:tc>
        <w:tc>
          <w:tcPr>
            <w:tcW w:w="3420" w:type="dxa"/>
            <w:shd w:val="clear" w:color="auto" w:fill="DBE5F1" w:themeFill="accent1" w:themeFillTint="33"/>
          </w:tcPr>
          <w:p w14:paraId="2664A52C" w14:textId="428A2B0F" w:rsidR="008373EF" w:rsidRPr="00CE09D9" w:rsidRDefault="008373EF" w:rsidP="008373EF">
            <w:pPr>
              <w:spacing w:before="120" w:after="120"/>
              <w:rPr>
                <w:rFonts w:eastAsia="Calibri" w:cs="Arial"/>
                <w:szCs w:val="22"/>
              </w:rPr>
            </w:pPr>
            <w:r w:rsidRPr="00CE09D9">
              <w:rPr>
                <w:rFonts w:cs="Arial"/>
                <w:color w:val="000000"/>
                <w:szCs w:val="22"/>
              </w:rPr>
              <w:t>Are local paid annuitants in scope for the purposes of this RFP? If so, please share the total number, variance in benefit offerings, carriers, etc.</w:t>
            </w:r>
          </w:p>
        </w:tc>
        <w:tc>
          <w:tcPr>
            <w:tcW w:w="5490" w:type="dxa"/>
            <w:shd w:val="clear" w:color="auto" w:fill="DBE5F1" w:themeFill="accent1" w:themeFillTint="33"/>
          </w:tcPr>
          <w:p w14:paraId="687C142D" w14:textId="7B1EFE80" w:rsidR="008373EF" w:rsidRPr="00CE09D9" w:rsidRDefault="008373EF" w:rsidP="008373EF">
            <w:pPr>
              <w:spacing w:before="120" w:after="120"/>
              <w:rPr>
                <w:rFonts w:cs="Arial"/>
                <w:szCs w:val="22"/>
              </w:rPr>
            </w:pPr>
            <w:r w:rsidRPr="00CE09D9">
              <w:rPr>
                <w:rFonts w:cs="Arial"/>
                <w:szCs w:val="22"/>
              </w:rPr>
              <w:t xml:space="preserve">Yes, local paid annuitants are within the scope of this RFP. </w:t>
            </w:r>
          </w:p>
          <w:p w14:paraId="6F1673E0" w14:textId="74B56007" w:rsidR="008373EF" w:rsidRPr="00CE09D9" w:rsidRDefault="008373EF" w:rsidP="008373EF">
            <w:pPr>
              <w:spacing w:before="120" w:after="120"/>
              <w:rPr>
                <w:rFonts w:cs="Arial"/>
                <w:szCs w:val="22"/>
              </w:rPr>
            </w:pPr>
            <w:r w:rsidRPr="00CE09D9">
              <w:rPr>
                <w:rFonts w:cs="Arial"/>
                <w:szCs w:val="22"/>
              </w:rPr>
              <w:t>In 2019, approximately 70 local employers insured 432 local paid annuitant subscribers and 789 members.</w:t>
            </w:r>
          </w:p>
          <w:p w14:paraId="7E214C1E" w14:textId="32349BA7" w:rsidR="008373EF" w:rsidRPr="00CE09D9" w:rsidRDefault="008373EF" w:rsidP="008373EF">
            <w:pPr>
              <w:spacing w:before="120" w:after="120"/>
              <w:rPr>
                <w:rFonts w:cs="Arial"/>
                <w:szCs w:val="22"/>
                <w:highlight w:val="yellow"/>
              </w:rPr>
            </w:pPr>
            <w:r w:rsidRPr="00CE09D9">
              <w:rPr>
                <w:rFonts w:cs="Arial"/>
                <w:szCs w:val="22"/>
              </w:rPr>
              <w:t xml:space="preserve">The same benefit offerings, carriers, and coverage options are available to both active employees and local paid annuitants of a given local employer. </w:t>
            </w:r>
          </w:p>
        </w:tc>
      </w:tr>
      <w:tr w:rsidR="008373EF" w:rsidRPr="00090B89" w14:paraId="2584FCEC" w14:textId="77777777" w:rsidTr="00520510">
        <w:tc>
          <w:tcPr>
            <w:tcW w:w="720" w:type="dxa"/>
            <w:shd w:val="clear" w:color="auto" w:fill="EEECE1" w:themeFill="background2"/>
          </w:tcPr>
          <w:p w14:paraId="591696BF" w14:textId="5A6ADED8" w:rsidR="008373EF" w:rsidRPr="00CE09D9" w:rsidRDefault="008373EF" w:rsidP="008373EF">
            <w:pPr>
              <w:spacing w:before="120" w:after="120"/>
              <w:jc w:val="both"/>
              <w:rPr>
                <w:rFonts w:cs="Arial"/>
                <w:szCs w:val="22"/>
              </w:rPr>
            </w:pPr>
            <w:bookmarkStart w:id="10" w:name="_Hlk35290003"/>
            <w:bookmarkEnd w:id="9"/>
            <w:r w:rsidRPr="00CE09D9">
              <w:rPr>
                <w:rFonts w:cs="Arial"/>
                <w:color w:val="000000" w:themeColor="text1"/>
                <w:szCs w:val="22"/>
              </w:rPr>
              <w:t>Q11</w:t>
            </w:r>
          </w:p>
        </w:tc>
        <w:tc>
          <w:tcPr>
            <w:tcW w:w="1710" w:type="dxa"/>
            <w:shd w:val="clear" w:color="auto" w:fill="EEECE1" w:themeFill="background2"/>
          </w:tcPr>
          <w:p w14:paraId="52A1F427" w14:textId="39AF4B53" w:rsidR="008373EF" w:rsidRPr="00CE09D9" w:rsidRDefault="008373EF" w:rsidP="008373EF">
            <w:pPr>
              <w:spacing w:before="120" w:after="120"/>
              <w:jc w:val="both"/>
              <w:rPr>
                <w:rFonts w:cs="Arial"/>
                <w:szCs w:val="22"/>
              </w:rPr>
            </w:pPr>
            <w:r w:rsidRPr="00CE09D9">
              <w:rPr>
                <w:rFonts w:cs="Arial"/>
                <w:szCs w:val="22"/>
              </w:rPr>
              <w:t>Appendix 8: Cost Proposal Workbook</w:t>
            </w:r>
          </w:p>
        </w:tc>
        <w:tc>
          <w:tcPr>
            <w:tcW w:w="1710" w:type="dxa"/>
            <w:shd w:val="clear" w:color="auto" w:fill="EEECE1" w:themeFill="background2"/>
          </w:tcPr>
          <w:p w14:paraId="2A20630C" w14:textId="5D843217" w:rsidR="008373EF" w:rsidRPr="00CE09D9" w:rsidRDefault="008373EF" w:rsidP="008373EF">
            <w:pPr>
              <w:spacing w:before="120" w:after="120"/>
              <w:jc w:val="both"/>
              <w:rPr>
                <w:rFonts w:cs="Arial"/>
                <w:szCs w:val="22"/>
              </w:rPr>
            </w:pPr>
            <w:r w:rsidRPr="00CE09D9">
              <w:rPr>
                <w:rFonts w:cs="Arial"/>
                <w:color w:val="000000"/>
                <w:szCs w:val="22"/>
              </w:rPr>
              <w:t>1</w:t>
            </w:r>
          </w:p>
        </w:tc>
        <w:tc>
          <w:tcPr>
            <w:tcW w:w="3420" w:type="dxa"/>
            <w:shd w:val="clear" w:color="auto" w:fill="EEECE1" w:themeFill="background2"/>
          </w:tcPr>
          <w:p w14:paraId="33559BCA" w14:textId="77777777" w:rsidR="008373EF" w:rsidRPr="00CE09D9" w:rsidRDefault="008373EF" w:rsidP="008373EF">
            <w:pPr>
              <w:tabs>
                <w:tab w:val="left" w:pos="3870"/>
                <w:tab w:val="left" w:pos="8550"/>
              </w:tabs>
              <w:spacing w:before="120" w:after="120"/>
              <w:rPr>
                <w:rFonts w:cs="Arial"/>
                <w:szCs w:val="22"/>
              </w:rPr>
            </w:pPr>
            <w:r w:rsidRPr="00CE09D9">
              <w:rPr>
                <w:rFonts w:cs="Arial"/>
                <w:szCs w:val="22"/>
              </w:rPr>
              <w:t>Re. Instructions listed in Appendix 1 - Proposal Checklist for Appendix 8: Cost Proposal Workbook: Completed and signed.</w:t>
            </w:r>
          </w:p>
          <w:p w14:paraId="764657D1" w14:textId="77777777" w:rsidR="008373EF" w:rsidRPr="00CE09D9" w:rsidRDefault="008373EF" w:rsidP="008373EF">
            <w:pPr>
              <w:tabs>
                <w:tab w:val="left" w:pos="3870"/>
                <w:tab w:val="left" w:pos="8550"/>
              </w:tabs>
              <w:spacing w:before="120" w:after="120"/>
              <w:rPr>
                <w:rFonts w:cs="Arial"/>
                <w:szCs w:val="22"/>
              </w:rPr>
            </w:pPr>
            <w:r w:rsidRPr="00CE09D9">
              <w:rPr>
                <w:rFonts w:cs="Arial"/>
                <w:szCs w:val="22"/>
              </w:rPr>
              <w:t xml:space="preserve">The instructions request signature on Appendix 8: Cost Proposal Workbook. </w:t>
            </w:r>
          </w:p>
          <w:p w14:paraId="378485E6" w14:textId="03A3D90D" w:rsidR="008373EF" w:rsidRPr="00CE09D9" w:rsidRDefault="008373EF" w:rsidP="008373EF">
            <w:pPr>
              <w:spacing w:before="120" w:after="120"/>
              <w:rPr>
                <w:rFonts w:cs="Arial"/>
                <w:szCs w:val="22"/>
              </w:rPr>
            </w:pPr>
            <w:r w:rsidRPr="00CE09D9">
              <w:rPr>
                <w:rFonts w:cs="Arial"/>
                <w:i/>
                <w:iCs/>
                <w:szCs w:val="22"/>
              </w:rPr>
              <w:t>Please verify where the signature should be placed and the signing authority you require.</w:t>
            </w:r>
          </w:p>
        </w:tc>
        <w:tc>
          <w:tcPr>
            <w:tcW w:w="5490" w:type="dxa"/>
            <w:shd w:val="clear" w:color="auto" w:fill="EEECE1" w:themeFill="background2"/>
          </w:tcPr>
          <w:p w14:paraId="0D5F31D3" w14:textId="4F3532B6" w:rsidR="008373EF" w:rsidRPr="00CE09D9" w:rsidRDefault="008373EF" w:rsidP="008373EF">
            <w:pPr>
              <w:spacing w:before="120" w:after="120"/>
              <w:rPr>
                <w:rFonts w:cs="Arial"/>
                <w:szCs w:val="22"/>
              </w:rPr>
            </w:pPr>
            <w:r w:rsidRPr="00CE09D9">
              <w:rPr>
                <w:rFonts w:cs="Arial"/>
                <w:szCs w:val="22"/>
              </w:rPr>
              <w:t xml:space="preserve">As stated in Appendix 1 – Proposal Checklist, Proposer’s signature was requested on the submitted Cost Proposal; however, a signature line was inadvertently left off the Cost Proposal. </w:t>
            </w:r>
          </w:p>
          <w:p w14:paraId="7211876B" w14:textId="18071ED5" w:rsidR="008373EF" w:rsidRPr="00CE09D9" w:rsidRDefault="008373EF" w:rsidP="008373EF">
            <w:pPr>
              <w:spacing w:before="120" w:after="120"/>
              <w:rPr>
                <w:rFonts w:cs="Arial"/>
                <w:szCs w:val="22"/>
              </w:rPr>
            </w:pPr>
            <w:r w:rsidRPr="00CE09D9">
              <w:rPr>
                <w:rFonts w:cs="Arial"/>
                <w:szCs w:val="22"/>
              </w:rPr>
              <w:t>No signature is required on the Cost Proposal. By returning the Cost Proposal, the Proposer agrees to offer the pricing as submitted.</w:t>
            </w:r>
          </w:p>
        </w:tc>
      </w:tr>
      <w:tr w:rsidR="008373EF" w:rsidRPr="006309FD" w14:paraId="0F59A498" w14:textId="77777777" w:rsidTr="00520510">
        <w:tc>
          <w:tcPr>
            <w:tcW w:w="720" w:type="dxa"/>
            <w:shd w:val="clear" w:color="auto" w:fill="DBE5F1" w:themeFill="accent1" w:themeFillTint="33"/>
          </w:tcPr>
          <w:p w14:paraId="79E7B6AF" w14:textId="33AF6979" w:rsidR="008373EF" w:rsidRPr="00CE09D9" w:rsidRDefault="008373EF" w:rsidP="008373EF">
            <w:pPr>
              <w:spacing w:before="120" w:after="120"/>
              <w:jc w:val="both"/>
              <w:rPr>
                <w:rFonts w:cs="Arial"/>
                <w:szCs w:val="22"/>
              </w:rPr>
            </w:pPr>
            <w:bookmarkStart w:id="11" w:name="_Hlk36105730"/>
            <w:bookmarkEnd w:id="10"/>
            <w:r w:rsidRPr="00CE09D9">
              <w:rPr>
                <w:rFonts w:cs="Arial"/>
                <w:color w:val="000000" w:themeColor="text1"/>
                <w:szCs w:val="22"/>
              </w:rPr>
              <w:t>Q12</w:t>
            </w:r>
          </w:p>
        </w:tc>
        <w:tc>
          <w:tcPr>
            <w:tcW w:w="1710" w:type="dxa"/>
            <w:shd w:val="clear" w:color="auto" w:fill="DBE5F1" w:themeFill="accent1" w:themeFillTint="33"/>
          </w:tcPr>
          <w:p w14:paraId="7A2F4C50" w14:textId="77777777" w:rsidR="008373EF" w:rsidRPr="00CE09D9" w:rsidRDefault="008373EF" w:rsidP="008373EF">
            <w:pPr>
              <w:spacing w:before="120" w:after="120"/>
              <w:rPr>
                <w:rFonts w:cs="Arial"/>
                <w:szCs w:val="22"/>
              </w:rPr>
            </w:pPr>
            <w:r w:rsidRPr="00CE09D9">
              <w:rPr>
                <w:rFonts w:cs="Arial"/>
                <w:szCs w:val="22"/>
              </w:rPr>
              <w:t>Addendum No. 3</w:t>
            </w:r>
          </w:p>
          <w:p w14:paraId="49584651" w14:textId="038F9C44" w:rsidR="008373EF" w:rsidRPr="00CE09D9" w:rsidRDefault="008373EF" w:rsidP="008373EF">
            <w:pPr>
              <w:spacing w:before="120" w:after="120"/>
              <w:jc w:val="both"/>
              <w:rPr>
                <w:rFonts w:cs="Arial"/>
                <w:szCs w:val="22"/>
              </w:rPr>
            </w:pPr>
            <w:r w:rsidRPr="00CE09D9">
              <w:rPr>
                <w:rFonts w:cs="Arial"/>
                <w:szCs w:val="22"/>
              </w:rPr>
              <w:t>Q7, Appendix 7, #303 of 28</w:t>
            </w:r>
          </w:p>
        </w:tc>
        <w:tc>
          <w:tcPr>
            <w:tcW w:w="1710" w:type="dxa"/>
            <w:shd w:val="clear" w:color="auto" w:fill="DBE5F1" w:themeFill="accent1" w:themeFillTint="33"/>
          </w:tcPr>
          <w:p w14:paraId="5A8E7D3F" w14:textId="376A9247" w:rsidR="008373EF" w:rsidRPr="00CE09D9" w:rsidRDefault="008373EF" w:rsidP="008373EF">
            <w:pPr>
              <w:spacing w:before="120" w:after="120"/>
              <w:jc w:val="both"/>
              <w:rPr>
                <w:rFonts w:cs="Arial"/>
                <w:szCs w:val="22"/>
              </w:rPr>
            </w:pPr>
          </w:p>
        </w:tc>
        <w:tc>
          <w:tcPr>
            <w:tcW w:w="3420" w:type="dxa"/>
            <w:shd w:val="clear" w:color="auto" w:fill="DBE5F1" w:themeFill="accent1" w:themeFillTint="33"/>
          </w:tcPr>
          <w:p w14:paraId="0CF74BEF" w14:textId="77777777" w:rsidR="008373EF" w:rsidRPr="00CE09D9" w:rsidRDefault="008373EF" w:rsidP="008373EF">
            <w:pPr>
              <w:tabs>
                <w:tab w:val="left" w:pos="3870"/>
                <w:tab w:val="left" w:pos="8550"/>
              </w:tabs>
              <w:spacing w:before="120" w:after="120"/>
              <w:rPr>
                <w:rFonts w:cs="Arial"/>
                <w:iCs/>
                <w:szCs w:val="22"/>
              </w:rPr>
            </w:pPr>
            <w:r w:rsidRPr="00CE09D9">
              <w:rPr>
                <w:rFonts w:cs="Arial"/>
                <w:iCs/>
                <w:szCs w:val="22"/>
              </w:rPr>
              <w:t>For ICI:</w:t>
            </w:r>
          </w:p>
          <w:p w14:paraId="0628C22E" w14:textId="77777777" w:rsidR="008373EF" w:rsidRPr="00CE09D9" w:rsidRDefault="008373EF" w:rsidP="008373EF">
            <w:pPr>
              <w:tabs>
                <w:tab w:val="left" w:pos="3870"/>
                <w:tab w:val="left" w:pos="8550"/>
              </w:tabs>
              <w:spacing w:before="120" w:after="120"/>
              <w:rPr>
                <w:rFonts w:cs="Arial"/>
                <w:iCs/>
                <w:szCs w:val="22"/>
              </w:rPr>
            </w:pPr>
            <w:r w:rsidRPr="00CE09D9">
              <w:rPr>
                <w:rFonts w:cs="Arial"/>
                <w:iCs/>
                <w:szCs w:val="22"/>
              </w:rPr>
              <w:t>We do not currently have an ICI enrollment database or any mechanism via which to generate a traditional invoice.</w:t>
            </w:r>
          </w:p>
          <w:p w14:paraId="64AE1495" w14:textId="77777777" w:rsidR="008373EF" w:rsidRPr="00CE09D9" w:rsidRDefault="008373EF" w:rsidP="008373EF">
            <w:pPr>
              <w:tabs>
                <w:tab w:val="left" w:pos="3870"/>
                <w:tab w:val="left" w:pos="8550"/>
              </w:tabs>
              <w:spacing w:before="120" w:after="120"/>
              <w:rPr>
                <w:rFonts w:cs="Arial"/>
                <w:iCs/>
                <w:szCs w:val="22"/>
              </w:rPr>
            </w:pPr>
            <w:r w:rsidRPr="00CE09D9">
              <w:rPr>
                <w:rFonts w:cs="Arial"/>
                <w:iCs/>
                <w:szCs w:val="22"/>
              </w:rPr>
              <w:t>Currently, employers report employee counts per category or elimination period, whichever is appropriate, in MEBS. For state employers, MEBS uses that data to calculate the premiums owed. Local employers are currently on a premium holiday and do not make premium payments, although that will likely change at some point in the future.</w:t>
            </w:r>
          </w:p>
          <w:p w14:paraId="2767C257" w14:textId="055888FA" w:rsidR="008373EF" w:rsidRPr="00CE09D9" w:rsidRDefault="008373EF" w:rsidP="008373EF">
            <w:pPr>
              <w:spacing w:before="120" w:after="120"/>
              <w:rPr>
                <w:rFonts w:cs="Arial"/>
                <w:szCs w:val="22"/>
              </w:rPr>
            </w:pPr>
            <w:r w:rsidRPr="00CE09D9">
              <w:rPr>
                <w:rFonts w:cs="Arial"/>
                <w:i/>
                <w:szCs w:val="22"/>
              </w:rPr>
              <w:t>Please provide a list of the program options that are available to local employers.</w:t>
            </w:r>
          </w:p>
        </w:tc>
        <w:tc>
          <w:tcPr>
            <w:tcW w:w="5490" w:type="dxa"/>
            <w:shd w:val="clear" w:color="auto" w:fill="DBE5F1" w:themeFill="accent1" w:themeFillTint="33"/>
          </w:tcPr>
          <w:p w14:paraId="52973F06" w14:textId="3E23B521" w:rsidR="008373EF" w:rsidRPr="00CE09D9" w:rsidRDefault="008373EF" w:rsidP="008373EF">
            <w:pPr>
              <w:spacing w:before="120" w:after="120"/>
              <w:rPr>
                <w:rFonts w:cs="Arial"/>
                <w:szCs w:val="22"/>
              </w:rPr>
            </w:pPr>
            <w:r w:rsidRPr="00CE09D9">
              <w:rPr>
                <w:rFonts w:cs="Arial"/>
                <w:szCs w:val="22"/>
              </w:rPr>
              <w:t xml:space="preserve">There is only one ICI plan available to local employers. However, employees have the option to select a 30, 60, 90, 120, or 180-day elimination period when they enroll. The chosen elimination period impacts the monthly premium. </w:t>
            </w:r>
          </w:p>
        </w:tc>
      </w:tr>
      <w:bookmarkEnd w:id="11"/>
    </w:tbl>
    <w:p w14:paraId="3ACF12BB" w14:textId="683E8C13" w:rsidR="00F61E1E" w:rsidRDefault="00F61E1E" w:rsidP="00936C63">
      <w:pPr>
        <w:spacing w:after="160" w:line="259" w:lineRule="auto"/>
        <w:rPr>
          <w:rFonts w:eastAsia="Calibri" w:cs="Arial"/>
          <w:color w:val="DBE5F1" w:themeColor="accent1" w:themeTint="33"/>
          <w:sz w:val="20"/>
        </w:rPr>
      </w:pPr>
    </w:p>
    <w:p w14:paraId="3F7038CF" w14:textId="77777777" w:rsidR="005F3C02" w:rsidRPr="00702347" w:rsidRDefault="005F3C02" w:rsidP="005F3C02">
      <w:pPr>
        <w:rPr>
          <w:rFonts w:cs="Arial"/>
          <w:szCs w:val="22"/>
        </w:rPr>
      </w:pPr>
      <w:r w:rsidRPr="00702347">
        <w:rPr>
          <w:rFonts w:cs="Arial"/>
          <w:szCs w:val="22"/>
        </w:rPr>
        <w:t xml:space="preserve">This Addendum is available on ETF’s Website at </w:t>
      </w:r>
      <w:hyperlink r:id="rId14" w:history="1">
        <w:hyperlink r:id="rId15" w:history="1">
          <w:r w:rsidRPr="00702347">
            <w:rPr>
              <w:rStyle w:val="Hyperlink"/>
              <w:rFonts w:eastAsiaTheme="majorEastAsia" w:cs="Arial"/>
              <w:szCs w:val="22"/>
            </w:rPr>
            <w:t>https://etf.wi.gov/node/15551</w:t>
          </w:r>
        </w:hyperlink>
      </w:hyperlink>
      <w:r w:rsidRPr="00702347">
        <w:rPr>
          <w:rFonts w:cs="Arial"/>
          <w:szCs w:val="22"/>
        </w:rPr>
        <w:t>.</w:t>
      </w:r>
    </w:p>
    <w:p w14:paraId="42909350" w14:textId="77777777" w:rsidR="005F3C02" w:rsidRPr="00702347" w:rsidRDefault="005F3C02" w:rsidP="00936C63">
      <w:pPr>
        <w:spacing w:after="160" w:line="259" w:lineRule="auto"/>
        <w:rPr>
          <w:rFonts w:eastAsia="Calibri" w:cs="Arial"/>
          <w:color w:val="DBE5F1" w:themeColor="accent1" w:themeTint="33"/>
          <w:sz w:val="20"/>
        </w:rPr>
      </w:pPr>
    </w:p>
    <w:sectPr w:rsidR="005F3C02" w:rsidRPr="00702347" w:rsidSect="0047377F">
      <w:footerReference w:type="default" r:id="rId16"/>
      <w:pgSz w:w="15840" w:h="12240" w:orient="landscape"/>
      <w:pgMar w:top="1440" w:right="547"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963F8" w14:textId="77777777" w:rsidR="008C2226" w:rsidRDefault="008C2226" w:rsidP="00E172D8">
      <w:r>
        <w:separator/>
      </w:r>
    </w:p>
  </w:endnote>
  <w:endnote w:type="continuationSeparator" w:id="0">
    <w:p w14:paraId="6595B6E1" w14:textId="77777777" w:rsidR="008C2226" w:rsidRDefault="008C2226" w:rsidP="00E172D8">
      <w:r>
        <w:continuationSeparator/>
      </w:r>
    </w:p>
  </w:endnote>
  <w:endnote w:type="continuationNotice" w:id="1">
    <w:p w14:paraId="7AB998B3" w14:textId="77777777" w:rsidR="008C2226" w:rsidRDefault="008C2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50163080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78ADD3C" w14:textId="77777777" w:rsidR="005F3C02" w:rsidRDefault="005F3C02">
            <w:pPr>
              <w:pStyle w:val="Footer"/>
              <w:jc w:val="right"/>
              <w:rPr>
                <w:sz w:val="18"/>
                <w:szCs w:val="18"/>
              </w:rPr>
            </w:pPr>
          </w:p>
          <w:p w14:paraId="1C5DAB33" w14:textId="072091ED" w:rsidR="005F3C02" w:rsidRPr="005F3C02" w:rsidRDefault="005F3C02">
            <w:pPr>
              <w:pStyle w:val="Footer"/>
              <w:jc w:val="right"/>
              <w:rPr>
                <w:sz w:val="18"/>
                <w:szCs w:val="18"/>
              </w:rPr>
            </w:pPr>
            <w:r w:rsidRPr="005F3C02">
              <w:rPr>
                <w:sz w:val="18"/>
                <w:szCs w:val="18"/>
              </w:rPr>
              <w:t xml:space="preserve">Page </w:t>
            </w:r>
            <w:r w:rsidRPr="005F3C02">
              <w:rPr>
                <w:sz w:val="18"/>
                <w:szCs w:val="18"/>
              </w:rPr>
              <w:fldChar w:fldCharType="begin"/>
            </w:r>
            <w:r w:rsidRPr="005F3C02">
              <w:rPr>
                <w:sz w:val="18"/>
                <w:szCs w:val="18"/>
              </w:rPr>
              <w:instrText xml:space="preserve"> PAGE </w:instrText>
            </w:r>
            <w:r w:rsidRPr="005F3C02">
              <w:rPr>
                <w:sz w:val="18"/>
                <w:szCs w:val="18"/>
              </w:rPr>
              <w:fldChar w:fldCharType="separate"/>
            </w:r>
            <w:r w:rsidRPr="005F3C02">
              <w:rPr>
                <w:noProof/>
                <w:sz w:val="18"/>
                <w:szCs w:val="18"/>
              </w:rPr>
              <w:t>2</w:t>
            </w:r>
            <w:r w:rsidRPr="005F3C02">
              <w:rPr>
                <w:sz w:val="18"/>
                <w:szCs w:val="18"/>
              </w:rPr>
              <w:fldChar w:fldCharType="end"/>
            </w:r>
            <w:r w:rsidRPr="005F3C02">
              <w:rPr>
                <w:sz w:val="18"/>
                <w:szCs w:val="18"/>
              </w:rPr>
              <w:t xml:space="preserve"> of </w:t>
            </w:r>
            <w:r w:rsidRPr="005F3C02">
              <w:rPr>
                <w:sz w:val="18"/>
                <w:szCs w:val="18"/>
              </w:rPr>
              <w:fldChar w:fldCharType="begin"/>
            </w:r>
            <w:r w:rsidRPr="005F3C02">
              <w:rPr>
                <w:sz w:val="18"/>
                <w:szCs w:val="18"/>
              </w:rPr>
              <w:instrText xml:space="preserve"> NUMPAGES  </w:instrText>
            </w:r>
            <w:r w:rsidRPr="005F3C02">
              <w:rPr>
                <w:sz w:val="18"/>
                <w:szCs w:val="18"/>
              </w:rPr>
              <w:fldChar w:fldCharType="separate"/>
            </w:r>
            <w:r w:rsidRPr="005F3C02">
              <w:rPr>
                <w:noProof/>
                <w:sz w:val="18"/>
                <w:szCs w:val="18"/>
              </w:rPr>
              <w:t>2</w:t>
            </w:r>
            <w:r w:rsidRPr="005F3C02">
              <w:rPr>
                <w:sz w:val="18"/>
                <w:szCs w:val="18"/>
              </w:rPr>
              <w:fldChar w:fldCharType="end"/>
            </w:r>
          </w:p>
        </w:sdtContent>
      </w:sdt>
    </w:sdtContent>
  </w:sdt>
  <w:p w14:paraId="5BB984D7" w14:textId="096BF128" w:rsidR="008C2226" w:rsidRPr="005F3C02" w:rsidRDefault="005F3C02">
    <w:pPr>
      <w:pStyle w:val="Footer"/>
      <w:rPr>
        <w:rFonts w:cs="Arial"/>
        <w:sz w:val="18"/>
        <w:szCs w:val="18"/>
      </w:rPr>
    </w:pPr>
    <w:r w:rsidRPr="005F3C02">
      <w:rPr>
        <w:rFonts w:cs="Arial"/>
        <w:sz w:val="18"/>
        <w:szCs w:val="18"/>
      </w:rPr>
      <w:t>ETF RFP ETI0050 Addendum No. 4 – Round 2 Vendor Questions and ETF Answers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6C6C2" w14:textId="77777777" w:rsidR="008C2226" w:rsidRDefault="008C2226" w:rsidP="00E172D8">
      <w:r>
        <w:separator/>
      </w:r>
    </w:p>
  </w:footnote>
  <w:footnote w:type="continuationSeparator" w:id="0">
    <w:p w14:paraId="77C495DB" w14:textId="77777777" w:rsidR="008C2226" w:rsidRDefault="008C2226" w:rsidP="00E172D8">
      <w:r>
        <w:continuationSeparator/>
      </w:r>
    </w:p>
  </w:footnote>
  <w:footnote w:type="continuationNotice" w:id="1">
    <w:p w14:paraId="1AC7FBB3" w14:textId="77777777" w:rsidR="008C2226" w:rsidRDefault="008C22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72736"/>
    <w:multiLevelType w:val="hybridMultilevel"/>
    <w:tmpl w:val="ECB45E84"/>
    <w:lvl w:ilvl="0" w:tplc="20F0DC0A">
      <w:start w:val="1"/>
      <w:numFmt w:val="bullet"/>
      <w:pStyle w:val="LRWLBodyTextBullet1"/>
      <w:lvlText w:val=""/>
      <w:lvlJc w:val="left"/>
      <w:pPr>
        <w:tabs>
          <w:tab w:val="num" w:pos="1800"/>
        </w:tabs>
        <w:ind w:left="1800" w:hanging="360"/>
      </w:pPr>
      <w:rPr>
        <w:rFonts w:ascii="Wingdings" w:hAnsi="Wingdings" w:hint="default"/>
        <w:color w:val="1F497D" w:themeColor="text2"/>
        <w:sz w:val="18"/>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20786620"/>
    <w:multiLevelType w:val="hybridMultilevel"/>
    <w:tmpl w:val="6C36D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12D42"/>
    <w:multiLevelType w:val="hybridMultilevel"/>
    <w:tmpl w:val="F61AD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300B0"/>
    <w:multiLevelType w:val="hybridMultilevel"/>
    <w:tmpl w:val="4C9A1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949F0"/>
    <w:multiLevelType w:val="hybridMultilevel"/>
    <w:tmpl w:val="3A70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8474C"/>
    <w:multiLevelType w:val="hybridMultilevel"/>
    <w:tmpl w:val="C4268302"/>
    <w:lvl w:ilvl="0" w:tplc="75B65082">
      <w:start w:val="1"/>
      <w:numFmt w:val="bullet"/>
      <w:lvlText w:val=""/>
      <w:lvlJc w:val="left"/>
      <w:pPr>
        <w:ind w:left="720" w:hanging="360"/>
      </w:pPr>
      <w:rPr>
        <w:rFonts w:ascii="Symbol" w:hAnsi="Symbol" w:hint="default"/>
      </w:rPr>
    </w:lvl>
    <w:lvl w:ilvl="1" w:tplc="E290468A">
      <w:start w:val="1"/>
      <w:numFmt w:val="bullet"/>
      <w:lvlText w:val="o"/>
      <w:lvlJc w:val="left"/>
      <w:pPr>
        <w:ind w:left="1440" w:hanging="360"/>
      </w:pPr>
      <w:rPr>
        <w:rFonts w:ascii="Courier New" w:hAnsi="Courier New" w:hint="default"/>
      </w:rPr>
    </w:lvl>
    <w:lvl w:ilvl="2" w:tplc="96FE3C72">
      <w:start w:val="1"/>
      <w:numFmt w:val="bullet"/>
      <w:lvlText w:val=""/>
      <w:lvlJc w:val="left"/>
      <w:pPr>
        <w:ind w:left="2160" w:hanging="360"/>
      </w:pPr>
      <w:rPr>
        <w:rFonts w:ascii="Wingdings" w:hAnsi="Wingdings" w:hint="default"/>
      </w:rPr>
    </w:lvl>
    <w:lvl w:ilvl="3" w:tplc="5EA0BB30">
      <w:start w:val="1"/>
      <w:numFmt w:val="bullet"/>
      <w:lvlText w:val=""/>
      <w:lvlJc w:val="left"/>
      <w:pPr>
        <w:ind w:left="2880" w:hanging="360"/>
      </w:pPr>
      <w:rPr>
        <w:rFonts w:ascii="Symbol" w:hAnsi="Symbol" w:hint="default"/>
      </w:rPr>
    </w:lvl>
    <w:lvl w:ilvl="4" w:tplc="CFEAFE0C">
      <w:start w:val="1"/>
      <w:numFmt w:val="bullet"/>
      <w:lvlText w:val="o"/>
      <w:lvlJc w:val="left"/>
      <w:pPr>
        <w:ind w:left="3600" w:hanging="360"/>
      </w:pPr>
      <w:rPr>
        <w:rFonts w:ascii="Courier New" w:hAnsi="Courier New" w:hint="default"/>
      </w:rPr>
    </w:lvl>
    <w:lvl w:ilvl="5" w:tplc="C1CADD7E">
      <w:start w:val="1"/>
      <w:numFmt w:val="bullet"/>
      <w:lvlText w:val=""/>
      <w:lvlJc w:val="left"/>
      <w:pPr>
        <w:ind w:left="4320" w:hanging="360"/>
      </w:pPr>
      <w:rPr>
        <w:rFonts w:ascii="Wingdings" w:hAnsi="Wingdings" w:hint="default"/>
      </w:rPr>
    </w:lvl>
    <w:lvl w:ilvl="6" w:tplc="B5866B0E">
      <w:start w:val="1"/>
      <w:numFmt w:val="bullet"/>
      <w:lvlText w:val=""/>
      <w:lvlJc w:val="left"/>
      <w:pPr>
        <w:ind w:left="5040" w:hanging="360"/>
      </w:pPr>
      <w:rPr>
        <w:rFonts w:ascii="Symbol" w:hAnsi="Symbol" w:hint="default"/>
      </w:rPr>
    </w:lvl>
    <w:lvl w:ilvl="7" w:tplc="891ECAE2">
      <w:start w:val="1"/>
      <w:numFmt w:val="bullet"/>
      <w:lvlText w:val="o"/>
      <w:lvlJc w:val="left"/>
      <w:pPr>
        <w:ind w:left="5760" w:hanging="360"/>
      </w:pPr>
      <w:rPr>
        <w:rFonts w:ascii="Courier New" w:hAnsi="Courier New" w:hint="default"/>
      </w:rPr>
    </w:lvl>
    <w:lvl w:ilvl="8" w:tplc="EDC8B67A">
      <w:start w:val="1"/>
      <w:numFmt w:val="bullet"/>
      <w:lvlText w:val=""/>
      <w:lvlJc w:val="left"/>
      <w:pPr>
        <w:ind w:left="6480" w:hanging="360"/>
      </w:pPr>
      <w:rPr>
        <w:rFonts w:ascii="Wingdings" w:hAnsi="Wingdings" w:hint="default"/>
      </w:rPr>
    </w:lvl>
  </w:abstractNum>
  <w:abstractNum w:abstractNumId="6" w15:restartNumberingAfterBreak="0">
    <w:nsid w:val="3DDB4437"/>
    <w:multiLevelType w:val="hybridMultilevel"/>
    <w:tmpl w:val="66F2D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A76259F"/>
    <w:multiLevelType w:val="hybridMultilevel"/>
    <w:tmpl w:val="EA901CA6"/>
    <w:lvl w:ilvl="0" w:tplc="9FCE4B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6"/>
  </w:num>
  <w:num w:numId="6">
    <w:abstractNumId w:val="1"/>
  </w:num>
  <w:num w:numId="7">
    <w:abstractNumId w:val="8"/>
  </w:num>
  <w:num w:numId="8">
    <w:abstractNumId w:val="2"/>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23"/>
    <w:rsid w:val="000065E5"/>
    <w:rsid w:val="000066DA"/>
    <w:rsid w:val="000070D0"/>
    <w:rsid w:val="00007919"/>
    <w:rsid w:val="00010B2B"/>
    <w:rsid w:val="00011498"/>
    <w:rsid w:val="00012E10"/>
    <w:rsid w:val="00013881"/>
    <w:rsid w:val="00014347"/>
    <w:rsid w:val="00015A26"/>
    <w:rsid w:val="00015BAE"/>
    <w:rsid w:val="00015E7C"/>
    <w:rsid w:val="00017437"/>
    <w:rsid w:val="000246A6"/>
    <w:rsid w:val="0002490D"/>
    <w:rsid w:val="00026172"/>
    <w:rsid w:val="0002667E"/>
    <w:rsid w:val="00026AC7"/>
    <w:rsid w:val="00026E7E"/>
    <w:rsid w:val="00027AD8"/>
    <w:rsid w:val="00027CD6"/>
    <w:rsid w:val="000314B3"/>
    <w:rsid w:val="0003556C"/>
    <w:rsid w:val="000361FD"/>
    <w:rsid w:val="000362C7"/>
    <w:rsid w:val="00041587"/>
    <w:rsid w:val="000438C2"/>
    <w:rsid w:val="000468EF"/>
    <w:rsid w:val="000512CE"/>
    <w:rsid w:val="00061F64"/>
    <w:rsid w:val="00063D50"/>
    <w:rsid w:val="00065460"/>
    <w:rsid w:val="00066FF6"/>
    <w:rsid w:val="00067585"/>
    <w:rsid w:val="00067E95"/>
    <w:rsid w:val="00070230"/>
    <w:rsid w:val="00072FFE"/>
    <w:rsid w:val="00073135"/>
    <w:rsid w:val="0007538D"/>
    <w:rsid w:val="000754AC"/>
    <w:rsid w:val="0007696F"/>
    <w:rsid w:val="00077C84"/>
    <w:rsid w:val="00090B89"/>
    <w:rsid w:val="00090E05"/>
    <w:rsid w:val="00092021"/>
    <w:rsid w:val="000932D3"/>
    <w:rsid w:val="000933F0"/>
    <w:rsid w:val="0009399D"/>
    <w:rsid w:val="00095924"/>
    <w:rsid w:val="000A1FBD"/>
    <w:rsid w:val="000A3B74"/>
    <w:rsid w:val="000B71C1"/>
    <w:rsid w:val="000C38B3"/>
    <w:rsid w:val="000C3C22"/>
    <w:rsid w:val="000C3CAF"/>
    <w:rsid w:val="000C3ED8"/>
    <w:rsid w:val="000C6AC7"/>
    <w:rsid w:val="000D0202"/>
    <w:rsid w:val="000D3C65"/>
    <w:rsid w:val="000D4BE5"/>
    <w:rsid w:val="000E00FF"/>
    <w:rsid w:val="000E0221"/>
    <w:rsid w:val="000E139F"/>
    <w:rsid w:val="000E1569"/>
    <w:rsid w:val="000E233C"/>
    <w:rsid w:val="000E4990"/>
    <w:rsid w:val="000E6B0C"/>
    <w:rsid w:val="000E6EAB"/>
    <w:rsid w:val="000E7178"/>
    <w:rsid w:val="000F2AAC"/>
    <w:rsid w:val="0010497D"/>
    <w:rsid w:val="00106540"/>
    <w:rsid w:val="00106E60"/>
    <w:rsid w:val="001076EE"/>
    <w:rsid w:val="00110C7A"/>
    <w:rsid w:val="0011104D"/>
    <w:rsid w:val="001116E1"/>
    <w:rsid w:val="001140C4"/>
    <w:rsid w:val="001147BB"/>
    <w:rsid w:val="00115870"/>
    <w:rsid w:val="001159CF"/>
    <w:rsid w:val="0011763B"/>
    <w:rsid w:val="001177D3"/>
    <w:rsid w:val="00117AAA"/>
    <w:rsid w:val="001204BC"/>
    <w:rsid w:val="00122A26"/>
    <w:rsid w:val="00124FA4"/>
    <w:rsid w:val="001251F5"/>
    <w:rsid w:val="001369B4"/>
    <w:rsid w:val="00140D7D"/>
    <w:rsid w:val="00142454"/>
    <w:rsid w:val="00143C3C"/>
    <w:rsid w:val="00147CEB"/>
    <w:rsid w:val="00150AEF"/>
    <w:rsid w:val="00150C06"/>
    <w:rsid w:val="00151592"/>
    <w:rsid w:val="0015587D"/>
    <w:rsid w:val="00157A08"/>
    <w:rsid w:val="00160E33"/>
    <w:rsid w:val="00161363"/>
    <w:rsid w:val="001653CA"/>
    <w:rsid w:val="0016788F"/>
    <w:rsid w:val="0017148A"/>
    <w:rsid w:val="00174B16"/>
    <w:rsid w:val="0018231A"/>
    <w:rsid w:val="001827F3"/>
    <w:rsid w:val="0018636B"/>
    <w:rsid w:val="0018748A"/>
    <w:rsid w:val="001912F8"/>
    <w:rsid w:val="001918ED"/>
    <w:rsid w:val="00192962"/>
    <w:rsid w:val="00193911"/>
    <w:rsid w:val="0019581B"/>
    <w:rsid w:val="00196F2B"/>
    <w:rsid w:val="001A0EAF"/>
    <w:rsid w:val="001A1272"/>
    <w:rsid w:val="001A28E3"/>
    <w:rsid w:val="001A3FD8"/>
    <w:rsid w:val="001B1227"/>
    <w:rsid w:val="001B27EC"/>
    <w:rsid w:val="001B4C1D"/>
    <w:rsid w:val="001B57B4"/>
    <w:rsid w:val="001B736E"/>
    <w:rsid w:val="001B7F9F"/>
    <w:rsid w:val="001C0075"/>
    <w:rsid w:val="001C029A"/>
    <w:rsid w:val="001C15A5"/>
    <w:rsid w:val="001C19CD"/>
    <w:rsid w:val="001C1C9E"/>
    <w:rsid w:val="001C1D15"/>
    <w:rsid w:val="001C3627"/>
    <w:rsid w:val="001C6D72"/>
    <w:rsid w:val="001D0EB1"/>
    <w:rsid w:val="001D33D8"/>
    <w:rsid w:val="001D5DCD"/>
    <w:rsid w:val="001D6DBD"/>
    <w:rsid w:val="001D724C"/>
    <w:rsid w:val="001E4B35"/>
    <w:rsid w:val="001E5280"/>
    <w:rsid w:val="001E6C09"/>
    <w:rsid w:val="001F2A0B"/>
    <w:rsid w:val="001F347B"/>
    <w:rsid w:val="001F79C7"/>
    <w:rsid w:val="0020111E"/>
    <w:rsid w:val="00201430"/>
    <w:rsid w:val="002035DB"/>
    <w:rsid w:val="00203F31"/>
    <w:rsid w:val="00203FBC"/>
    <w:rsid w:val="0020636C"/>
    <w:rsid w:val="002114EA"/>
    <w:rsid w:val="00213143"/>
    <w:rsid w:val="0021346C"/>
    <w:rsid w:val="002134A7"/>
    <w:rsid w:val="0021573C"/>
    <w:rsid w:val="00216574"/>
    <w:rsid w:val="002172F4"/>
    <w:rsid w:val="00217491"/>
    <w:rsid w:val="00220215"/>
    <w:rsid w:val="00221E7F"/>
    <w:rsid w:val="0022621F"/>
    <w:rsid w:val="00231BD2"/>
    <w:rsid w:val="0024037B"/>
    <w:rsid w:val="0024351B"/>
    <w:rsid w:val="002464E4"/>
    <w:rsid w:val="00246B89"/>
    <w:rsid w:val="002507C8"/>
    <w:rsid w:val="00252F00"/>
    <w:rsid w:val="00253063"/>
    <w:rsid w:val="002548E2"/>
    <w:rsid w:val="00255BA3"/>
    <w:rsid w:val="00261A7C"/>
    <w:rsid w:val="002623E0"/>
    <w:rsid w:val="0026359E"/>
    <w:rsid w:val="00264E14"/>
    <w:rsid w:val="00265081"/>
    <w:rsid w:val="00265444"/>
    <w:rsid w:val="00270665"/>
    <w:rsid w:val="00270B4E"/>
    <w:rsid w:val="002806B6"/>
    <w:rsid w:val="00285F45"/>
    <w:rsid w:val="00293BD5"/>
    <w:rsid w:val="002953A7"/>
    <w:rsid w:val="002966BE"/>
    <w:rsid w:val="002978C6"/>
    <w:rsid w:val="00297FFC"/>
    <w:rsid w:val="002A2117"/>
    <w:rsid w:val="002A2D44"/>
    <w:rsid w:val="002A3A85"/>
    <w:rsid w:val="002B08A9"/>
    <w:rsid w:val="002B1587"/>
    <w:rsid w:val="002B2843"/>
    <w:rsid w:val="002B44EB"/>
    <w:rsid w:val="002C07ED"/>
    <w:rsid w:val="002C0C72"/>
    <w:rsid w:val="002C362D"/>
    <w:rsid w:val="002C54A7"/>
    <w:rsid w:val="002C7ACB"/>
    <w:rsid w:val="002D1578"/>
    <w:rsid w:val="002D194D"/>
    <w:rsid w:val="002D354A"/>
    <w:rsid w:val="002D4E52"/>
    <w:rsid w:val="002D67B5"/>
    <w:rsid w:val="002D7075"/>
    <w:rsid w:val="002D7950"/>
    <w:rsid w:val="002E1BCF"/>
    <w:rsid w:val="002E66BB"/>
    <w:rsid w:val="002F00C1"/>
    <w:rsid w:val="002F0DCE"/>
    <w:rsid w:val="002F69C9"/>
    <w:rsid w:val="003032C5"/>
    <w:rsid w:val="00304356"/>
    <w:rsid w:val="003073AD"/>
    <w:rsid w:val="00310E33"/>
    <w:rsid w:val="0031161D"/>
    <w:rsid w:val="00313436"/>
    <w:rsid w:val="003158F2"/>
    <w:rsid w:val="00316D06"/>
    <w:rsid w:val="003238D4"/>
    <w:rsid w:val="0032470B"/>
    <w:rsid w:val="0032579B"/>
    <w:rsid w:val="00326C88"/>
    <w:rsid w:val="003272DE"/>
    <w:rsid w:val="003276D2"/>
    <w:rsid w:val="00330173"/>
    <w:rsid w:val="00330635"/>
    <w:rsid w:val="0033228E"/>
    <w:rsid w:val="0033338A"/>
    <w:rsid w:val="00333471"/>
    <w:rsid w:val="0033729A"/>
    <w:rsid w:val="00342CF2"/>
    <w:rsid w:val="00343526"/>
    <w:rsid w:val="003457D6"/>
    <w:rsid w:val="00351A7F"/>
    <w:rsid w:val="0035224A"/>
    <w:rsid w:val="003532FD"/>
    <w:rsid w:val="00361EF6"/>
    <w:rsid w:val="00362D0C"/>
    <w:rsid w:val="00367885"/>
    <w:rsid w:val="00370D1C"/>
    <w:rsid w:val="003712C3"/>
    <w:rsid w:val="003715F0"/>
    <w:rsid w:val="00373726"/>
    <w:rsid w:val="00374051"/>
    <w:rsid w:val="00377CAF"/>
    <w:rsid w:val="003811C8"/>
    <w:rsid w:val="003815A3"/>
    <w:rsid w:val="003818A0"/>
    <w:rsid w:val="00382A25"/>
    <w:rsid w:val="0038335E"/>
    <w:rsid w:val="0038398C"/>
    <w:rsid w:val="00383E16"/>
    <w:rsid w:val="00390F59"/>
    <w:rsid w:val="003971F2"/>
    <w:rsid w:val="003979ED"/>
    <w:rsid w:val="00397CF9"/>
    <w:rsid w:val="003A1B53"/>
    <w:rsid w:val="003A2367"/>
    <w:rsid w:val="003A6676"/>
    <w:rsid w:val="003A6AD0"/>
    <w:rsid w:val="003B094F"/>
    <w:rsid w:val="003C010B"/>
    <w:rsid w:val="003C09CA"/>
    <w:rsid w:val="003C2F17"/>
    <w:rsid w:val="003C3819"/>
    <w:rsid w:val="003C556D"/>
    <w:rsid w:val="003D08BE"/>
    <w:rsid w:val="003D0D23"/>
    <w:rsid w:val="003D32E8"/>
    <w:rsid w:val="003D3ED8"/>
    <w:rsid w:val="003D7AE4"/>
    <w:rsid w:val="003E3CB6"/>
    <w:rsid w:val="003E3E2E"/>
    <w:rsid w:val="003E4A97"/>
    <w:rsid w:val="003E612A"/>
    <w:rsid w:val="003E72E5"/>
    <w:rsid w:val="003F0CC4"/>
    <w:rsid w:val="003F1B28"/>
    <w:rsid w:val="0040063D"/>
    <w:rsid w:val="00401AE7"/>
    <w:rsid w:val="00401C3A"/>
    <w:rsid w:val="00405816"/>
    <w:rsid w:val="00406193"/>
    <w:rsid w:val="00411B6B"/>
    <w:rsid w:val="00413158"/>
    <w:rsid w:val="004150B3"/>
    <w:rsid w:val="00421006"/>
    <w:rsid w:val="004216C6"/>
    <w:rsid w:val="00422FBF"/>
    <w:rsid w:val="004231BE"/>
    <w:rsid w:val="0042379F"/>
    <w:rsid w:val="00423FE4"/>
    <w:rsid w:val="0042623F"/>
    <w:rsid w:val="00426803"/>
    <w:rsid w:val="004309E1"/>
    <w:rsid w:val="00430C40"/>
    <w:rsid w:val="00431C11"/>
    <w:rsid w:val="0043514E"/>
    <w:rsid w:val="004368ED"/>
    <w:rsid w:val="0043709D"/>
    <w:rsid w:val="004376AC"/>
    <w:rsid w:val="004436D3"/>
    <w:rsid w:val="00444137"/>
    <w:rsid w:val="00444D0E"/>
    <w:rsid w:val="00452F03"/>
    <w:rsid w:val="0045672D"/>
    <w:rsid w:val="00457300"/>
    <w:rsid w:val="004607E5"/>
    <w:rsid w:val="004629F5"/>
    <w:rsid w:val="00465ADD"/>
    <w:rsid w:val="00472898"/>
    <w:rsid w:val="00472919"/>
    <w:rsid w:val="00472C18"/>
    <w:rsid w:val="0047377F"/>
    <w:rsid w:val="00473D30"/>
    <w:rsid w:val="00475BB7"/>
    <w:rsid w:val="00475F9B"/>
    <w:rsid w:val="004822B5"/>
    <w:rsid w:val="00487031"/>
    <w:rsid w:val="0049067D"/>
    <w:rsid w:val="00491F8D"/>
    <w:rsid w:val="00492096"/>
    <w:rsid w:val="004926A5"/>
    <w:rsid w:val="00492B67"/>
    <w:rsid w:val="00493441"/>
    <w:rsid w:val="00493444"/>
    <w:rsid w:val="00494109"/>
    <w:rsid w:val="00494D9D"/>
    <w:rsid w:val="004969F0"/>
    <w:rsid w:val="004A056E"/>
    <w:rsid w:val="004A16A5"/>
    <w:rsid w:val="004A608F"/>
    <w:rsid w:val="004A6526"/>
    <w:rsid w:val="004A7A4A"/>
    <w:rsid w:val="004B5559"/>
    <w:rsid w:val="004B608B"/>
    <w:rsid w:val="004C56C1"/>
    <w:rsid w:val="004C664D"/>
    <w:rsid w:val="004C7A44"/>
    <w:rsid w:val="004D1B59"/>
    <w:rsid w:val="004D2CFC"/>
    <w:rsid w:val="004D46AA"/>
    <w:rsid w:val="004D50F8"/>
    <w:rsid w:val="004E1C20"/>
    <w:rsid w:val="004E5623"/>
    <w:rsid w:val="004E6111"/>
    <w:rsid w:val="004E6F39"/>
    <w:rsid w:val="004E767E"/>
    <w:rsid w:val="004F0F10"/>
    <w:rsid w:val="004F4271"/>
    <w:rsid w:val="004F5E6F"/>
    <w:rsid w:val="004F710C"/>
    <w:rsid w:val="004F75A9"/>
    <w:rsid w:val="005012E4"/>
    <w:rsid w:val="0050183F"/>
    <w:rsid w:val="005023A8"/>
    <w:rsid w:val="00505780"/>
    <w:rsid w:val="00507141"/>
    <w:rsid w:val="00507BDA"/>
    <w:rsid w:val="005102CF"/>
    <w:rsid w:val="00512F51"/>
    <w:rsid w:val="005130AD"/>
    <w:rsid w:val="00513106"/>
    <w:rsid w:val="00515A67"/>
    <w:rsid w:val="00520510"/>
    <w:rsid w:val="00522CD9"/>
    <w:rsid w:val="005233D8"/>
    <w:rsid w:val="005236F6"/>
    <w:rsid w:val="005237A0"/>
    <w:rsid w:val="00523B05"/>
    <w:rsid w:val="00523F62"/>
    <w:rsid w:val="00530D6D"/>
    <w:rsid w:val="005327C6"/>
    <w:rsid w:val="005345B6"/>
    <w:rsid w:val="005357A6"/>
    <w:rsid w:val="005362FF"/>
    <w:rsid w:val="005370FC"/>
    <w:rsid w:val="00540621"/>
    <w:rsid w:val="0054693E"/>
    <w:rsid w:val="00551C68"/>
    <w:rsid w:val="00551D9A"/>
    <w:rsid w:val="0055333E"/>
    <w:rsid w:val="00555248"/>
    <w:rsid w:val="0055690F"/>
    <w:rsid w:val="005577B3"/>
    <w:rsid w:val="00557E98"/>
    <w:rsid w:val="00557ECE"/>
    <w:rsid w:val="00564BE8"/>
    <w:rsid w:val="005653FB"/>
    <w:rsid w:val="00570320"/>
    <w:rsid w:val="005729E3"/>
    <w:rsid w:val="00574241"/>
    <w:rsid w:val="005746C5"/>
    <w:rsid w:val="0057487C"/>
    <w:rsid w:val="00576065"/>
    <w:rsid w:val="00576AB7"/>
    <w:rsid w:val="00583649"/>
    <w:rsid w:val="005853F8"/>
    <w:rsid w:val="00585677"/>
    <w:rsid w:val="005866F2"/>
    <w:rsid w:val="00592852"/>
    <w:rsid w:val="0059370A"/>
    <w:rsid w:val="005952F5"/>
    <w:rsid w:val="00596C80"/>
    <w:rsid w:val="005A28A3"/>
    <w:rsid w:val="005A7FCB"/>
    <w:rsid w:val="005B2493"/>
    <w:rsid w:val="005B35A8"/>
    <w:rsid w:val="005B35EF"/>
    <w:rsid w:val="005B6FF8"/>
    <w:rsid w:val="005C317B"/>
    <w:rsid w:val="005C324E"/>
    <w:rsid w:val="005C3E9E"/>
    <w:rsid w:val="005D1F4D"/>
    <w:rsid w:val="005D4AF4"/>
    <w:rsid w:val="005D5B34"/>
    <w:rsid w:val="005D6CE6"/>
    <w:rsid w:val="005E013B"/>
    <w:rsid w:val="005E272D"/>
    <w:rsid w:val="005E34C8"/>
    <w:rsid w:val="005E4423"/>
    <w:rsid w:val="005E69F0"/>
    <w:rsid w:val="005E7478"/>
    <w:rsid w:val="005E7844"/>
    <w:rsid w:val="005E7EB8"/>
    <w:rsid w:val="005F2F6B"/>
    <w:rsid w:val="005F3049"/>
    <w:rsid w:val="005F3C02"/>
    <w:rsid w:val="005F4658"/>
    <w:rsid w:val="005F6C2F"/>
    <w:rsid w:val="005F7A77"/>
    <w:rsid w:val="00600222"/>
    <w:rsid w:val="00602CA3"/>
    <w:rsid w:val="00613253"/>
    <w:rsid w:val="00625684"/>
    <w:rsid w:val="00627B87"/>
    <w:rsid w:val="00630232"/>
    <w:rsid w:val="006309FD"/>
    <w:rsid w:val="006320C4"/>
    <w:rsid w:val="0063482F"/>
    <w:rsid w:val="00634F26"/>
    <w:rsid w:val="00636024"/>
    <w:rsid w:val="006370F7"/>
    <w:rsid w:val="00637C76"/>
    <w:rsid w:val="00637F39"/>
    <w:rsid w:val="006411D8"/>
    <w:rsid w:val="00642800"/>
    <w:rsid w:val="00642F15"/>
    <w:rsid w:val="006435CC"/>
    <w:rsid w:val="0064419F"/>
    <w:rsid w:val="00644286"/>
    <w:rsid w:val="00644C37"/>
    <w:rsid w:val="0065049D"/>
    <w:rsid w:val="006513F1"/>
    <w:rsid w:val="006545D9"/>
    <w:rsid w:val="006546EF"/>
    <w:rsid w:val="006550BF"/>
    <w:rsid w:val="00655B11"/>
    <w:rsid w:val="006576A3"/>
    <w:rsid w:val="006630BC"/>
    <w:rsid w:val="00664341"/>
    <w:rsid w:val="00664B45"/>
    <w:rsid w:val="00664BDE"/>
    <w:rsid w:val="006653C5"/>
    <w:rsid w:val="00665DE6"/>
    <w:rsid w:val="006705FA"/>
    <w:rsid w:val="006715D9"/>
    <w:rsid w:val="0067664C"/>
    <w:rsid w:val="006839DE"/>
    <w:rsid w:val="00685702"/>
    <w:rsid w:val="00691464"/>
    <w:rsid w:val="00691CAD"/>
    <w:rsid w:val="00691E69"/>
    <w:rsid w:val="006A04F1"/>
    <w:rsid w:val="006A4054"/>
    <w:rsid w:val="006A5AD0"/>
    <w:rsid w:val="006B179A"/>
    <w:rsid w:val="006C253F"/>
    <w:rsid w:val="006C4CEF"/>
    <w:rsid w:val="006C6F12"/>
    <w:rsid w:val="006D06AA"/>
    <w:rsid w:val="006D077C"/>
    <w:rsid w:val="006D09FE"/>
    <w:rsid w:val="006D159B"/>
    <w:rsid w:val="006D2131"/>
    <w:rsid w:val="006D4B8C"/>
    <w:rsid w:val="006D7AA3"/>
    <w:rsid w:val="006E0184"/>
    <w:rsid w:val="006E0865"/>
    <w:rsid w:val="006E0FF5"/>
    <w:rsid w:val="006E7A4C"/>
    <w:rsid w:val="007016C4"/>
    <w:rsid w:val="007019CA"/>
    <w:rsid w:val="00702347"/>
    <w:rsid w:val="007026A6"/>
    <w:rsid w:val="007033A0"/>
    <w:rsid w:val="00705EE2"/>
    <w:rsid w:val="00706198"/>
    <w:rsid w:val="007103BD"/>
    <w:rsid w:val="00713898"/>
    <w:rsid w:val="00730696"/>
    <w:rsid w:val="0073193A"/>
    <w:rsid w:val="007319CC"/>
    <w:rsid w:val="007340EC"/>
    <w:rsid w:val="00734F94"/>
    <w:rsid w:val="007400BE"/>
    <w:rsid w:val="007403C6"/>
    <w:rsid w:val="0074143D"/>
    <w:rsid w:val="00741EE5"/>
    <w:rsid w:val="00745139"/>
    <w:rsid w:val="0074521C"/>
    <w:rsid w:val="0075156E"/>
    <w:rsid w:val="00755418"/>
    <w:rsid w:val="00755D1B"/>
    <w:rsid w:val="0075618A"/>
    <w:rsid w:val="00756A4D"/>
    <w:rsid w:val="00763140"/>
    <w:rsid w:val="007634DD"/>
    <w:rsid w:val="00764203"/>
    <w:rsid w:val="007663AB"/>
    <w:rsid w:val="00766FD9"/>
    <w:rsid w:val="0077031D"/>
    <w:rsid w:val="00772CB4"/>
    <w:rsid w:val="007759EB"/>
    <w:rsid w:val="00780BDF"/>
    <w:rsid w:val="00786161"/>
    <w:rsid w:val="007863A7"/>
    <w:rsid w:val="007917DE"/>
    <w:rsid w:val="0079243F"/>
    <w:rsid w:val="007929E9"/>
    <w:rsid w:val="007936E7"/>
    <w:rsid w:val="00796764"/>
    <w:rsid w:val="00797B23"/>
    <w:rsid w:val="007A5908"/>
    <w:rsid w:val="007A7A31"/>
    <w:rsid w:val="007A7F10"/>
    <w:rsid w:val="007B173F"/>
    <w:rsid w:val="007B1A00"/>
    <w:rsid w:val="007B2EF0"/>
    <w:rsid w:val="007B4BBF"/>
    <w:rsid w:val="007B6C07"/>
    <w:rsid w:val="007C3AC8"/>
    <w:rsid w:val="007C4AB5"/>
    <w:rsid w:val="007D05EB"/>
    <w:rsid w:val="007D25CA"/>
    <w:rsid w:val="007D2BB7"/>
    <w:rsid w:val="007D2D2A"/>
    <w:rsid w:val="007D3859"/>
    <w:rsid w:val="007D439B"/>
    <w:rsid w:val="007D46F9"/>
    <w:rsid w:val="007D4853"/>
    <w:rsid w:val="007D5565"/>
    <w:rsid w:val="007D7963"/>
    <w:rsid w:val="007D7FC6"/>
    <w:rsid w:val="007E05DA"/>
    <w:rsid w:val="007E0A4D"/>
    <w:rsid w:val="007E1B02"/>
    <w:rsid w:val="007E317E"/>
    <w:rsid w:val="007E3853"/>
    <w:rsid w:val="007E5951"/>
    <w:rsid w:val="007F1B24"/>
    <w:rsid w:val="007F2F17"/>
    <w:rsid w:val="007F74ED"/>
    <w:rsid w:val="007F7C97"/>
    <w:rsid w:val="00800485"/>
    <w:rsid w:val="0081166E"/>
    <w:rsid w:val="0081224E"/>
    <w:rsid w:val="00814C13"/>
    <w:rsid w:val="008162E0"/>
    <w:rsid w:val="00817708"/>
    <w:rsid w:val="0082163C"/>
    <w:rsid w:val="00821FDA"/>
    <w:rsid w:val="00823AB4"/>
    <w:rsid w:val="00827E80"/>
    <w:rsid w:val="008315D1"/>
    <w:rsid w:val="00831BC2"/>
    <w:rsid w:val="00832464"/>
    <w:rsid w:val="008351BB"/>
    <w:rsid w:val="008368F3"/>
    <w:rsid w:val="008373EF"/>
    <w:rsid w:val="00837497"/>
    <w:rsid w:val="00841520"/>
    <w:rsid w:val="00841709"/>
    <w:rsid w:val="00842D08"/>
    <w:rsid w:val="00843AA3"/>
    <w:rsid w:val="008456F8"/>
    <w:rsid w:val="00845F10"/>
    <w:rsid w:val="00851579"/>
    <w:rsid w:val="00861DAA"/>
    <w:rsid w:val="00863BF9"/>
    <w:rsid w:val="008656D8"/>
    <w:rsid w:val="0086679E"/>
    <w:rsid w:val="0087593A"/>
    <w:rsid w:val="00880C8F"/>
    <w:rsid w:val="0088220F"/>
    <w:rsid w:val="00882791"/>
    <w:rsid w:val="008849A3"/>
    <w:rsid w:val="0088650F"/>
    <w:rsid w:val="008955FB"/>
    <w:rsid w:val="00896A01"/>
    <w:rsid w:val="008970C6"/>
    <w:rsid w:val="008A034B"/>
    <w:rsid w:val="008A4BF2"/>
    <w:rsid w:val="008A73D6"/>
    <w:rsid w:val="008B0A2E"/>
    <w:rsid w:val="008B0AE3"/>
    <w:rsid w:val="008B13C1"/>
    <w:rsid w:val="008B2600"/>
    <w:rsid w:val="008C2226"/>
    <w:rsid w:val="008D1EA3"/>
    <w:rsid w:val="008D3661"/>
    <w:rsid w:val="008D7215"/>
    <w:rsid w:val="008E12EA"/>
    <w:rsid w:val="008E21BD"/>
    <w:rsid w:val="008E2D88"/>
    <w:rsid w:val="008E342D"/>
    <w:rsid w:val="008E47AE"/>
    <w:rsid w:val="008F0E36"/>
    <w:rsid w:val="008F2AE4"/>
    <w:rsid w:val="008F3BD4"/>
    <w:rsid w:val="008F7455"/>
    <w:rsid w:val="008F7ACA"/>
    <w:rsid w:val="00900140"/>
    <w:rsid w:val="00904A18"/>
    <w:rsid w:val="00904FB9"/>
    <w:rsid w:val="00910007"/>
    <w:rsid w:val="00910048"/>
    <w:rsid w:val="009131C6"/>
    <w:rsid w:val="009141AB"/>
    <w:rsid w:val="009163EA"/>
    <w:rsid w:val="009168FB"/>
    <w:rsid w:val="009205F3"/>
    <w:rsid w:val="0092178A"/>
    <w:rsid w:val="00924AA7"/>
    <w:rsid w:val="00924C26"/>
    <w:rsid w:val="00925626"/>
    <w:rsid w:val="00931F80"/>
    <w:rsid w:val="009342B4"/>
    <w:rsid w:val="00936C63"/>
    <w:rsid w:val="00941C8C"/>
    <w:rsid w:val="00942BB9"/>
    <w:rsid w:val="009447B1"/>
    <w:rsid w:val="00944F91"/>
    <w:rsid w:val="00945B59"/>
    <w:rsid w:val="009462A4"/>
    <w:rsid w:val="00947331"/>
    <w:rsid w:val="00947661"/>
    <w:rsid w:val="00947C39"/>
    <w:rsid w:val="009506C5"/>
    <w:rsid w:val="00950984"/>
    <w:rsid w:val="00950A79"/>
    <w:rsid w:val="009513BB"/>
    <w:rsid w:val="00954B84"/>
    <w:rsid w:val="009606F0"/>
    <w:rsid w:val="009643EC"/>
    <w:rsid w:val="009650C6"/>
    <w:rsid w:val="00966683"/>
    <w:rsid w:val="0096756A"/>
    <w:rsid w:val="00970790"/>
    <w:rsid w:val="00971B74"/>
    <w:rsid w:val="00972B15"/>
    <w:rsid w:val="00973465"/>
    <w:rsid w:val="00974FC3"/>
    <w:rsid w:val="009750FE"/>
    <w:rsid w:val="009763E7"/>
    <w:rsid w:val="00976BE0"/>
    <w:rsid w:val="00976F0F"/>
    <w:rsid w:val="009846AB"/>
    <w:rsid w:val="0098773D"/>
    <w:rsid w:val="009944DC"/>
    <w:rsid w:val="00995DDB"/>
    <w:rsid w:val="009974DE"/>
    <w:rsid w:val="009A1C48"/>
    <w:rsid w:val="009A39CA"/>
    <w:rsid w:val="009B2823"/>
    <w:rsid w:val="009B2A0D"/>
    <w:rsid w:val="009B73AB"/>
    <w:rsid w:val="009C3034"/>
    <w:rsid w:val="009C3196"/>
    <w:rsid w:val="009C4EF5"/>
    <w:rsid w:val="009C551D"/>
    <w:rsid w:val="009C61FC"/>
    <w:rsid w:val="009D089F"/>
    <w:rsid w:val="009D5A10"/>
    <w:rsid w:val="009D79F4"/>
    <w:rsid w:val="009E0661"/>
    <w:rsid w:val="009E270F"/>
    <w:rsid w:val="009E3A04"/>
    <w:rsid w:val="009E7E13"/>
    <w:rsid w:val="009F2C39"/>
    <w:rsid w:val="009F530B"/>
    <w:rsid w:val="00A034B7"/>
    <w:rsid w:val="00A0517B"/>
    <w:rsid w:val="00A0531A"/>
    <w:rsid w:val="00A05AF6"/>
    <w:rsid w:val="00A10A7D"/>
    <w:rsid w:val="00A1383C"/>
    <w:rsid w:val="00A165A0"/>
    <w:rsid w:val="00A208AE"/>
    <w:rsid w:val="00A20911"/>
    <w:rsid w:val="00A21621"/>
    <w:rsid w:val="00A23565"/>
    <w:rsid w:val="00A27818"/>
    <w:rsid w:val="00A35087"/>
    <w:rsid w:val="00A360BD"/>
    <w:rsid w:val="00A44CE1"/>
    <w:rsid w:val="00A502AE"/>
    <w:rsid w:val="00A51A07"/>
    <w:rsid w:val="00A52B10"/>
    <w:rsid w:val="00A54E68"/>
    <w:rsid w:val="00A57671"/>
    <w:rsid w:val="00A66248"/>
    <w:rsid w:val="00A71D6C"/>
    <w:rsid w:val="00A72EC2"/>
    <w:rsid w:val="00A73765"/>
    <w:rsid w:val="00A73B1B"/>
    <w:rsid w:val="00A75404"/>
    <w:rsid w:val="00A75AA2"/>
    <w:rsid w:val="00A76D26"/>
    <w:rsid w:val="00A82179"/>
    <w:rsid w:val="00A93D29"/>
    <w:rsid w:val="00A93FF7"/>
    <w:rsid w:val="00A95793"/>
    <w:rsid w:val="00A95F7F"/>
    <w:rsid w:val="00A96892"/>
    <w:rsid w:val="00AA35BF"/>
    <w:rsid w:val="00AA415E"/>
    <w:rsid w:val="00AA7F27"/>
    <w:rsid w:val="00AB0B20"/>
    <w:rsid w:val="00AB1BE2"/>
    <w:rsid w:val="00AB226F"/>
    <w:rsid w:val="00AC247C"/>
    <w:rsid w:val="00AC3150"/>
    <w:rsid w:val="00AC5E3E"/>
    <w:rsid w:val="00AC7FE3"/>
    <w:rsid w:val="00AD3260"/>
    <w:rsid w:val="00AD4383"/>
    <w:rsid w:val="00AD514E"/>
    <w:rsid w:val="00AD787E"/>
    <w:rsid w:val="00AE2318"/>
    <w:rsid w:val="00AF7164"/>
    <w:rsid w:val="00AF7976"/>
    <w:rsid w:val="00B0048D"/>
    <w:rsid w:val="00B020F5"/>
    <w:rsid w:val="00B042C7"/>
    <w:rsid w:val="00B06F3F"/>
    <w:rsid w:val="00B106FA"/>
    <w:rsid w:val="00B1179C"/>
    <w:rsid w:val="00B13B52"/>
    <w:rsid w:val="00B16010"/>
    <w:rsid w:val="00B1738D"/>
    <w:rsid w:val="00B22F1B"/>
    <w:rsid w:val="00B238EE"/>
    <w:rsid w:val="00B23E31"/>
    <w:rsid w:val="00B269D7"/>
    <w:rsid w:val="00B26A0E"/>
    <w:rsid w:val="00B33D9A"/>
    <w:rsid w:val="00B37E44"/>
    <w:rsid w:val="00B406FA"/>
    <w:rsid w:val="00B454D6"/>
    <w:rsid w:val="00B457C0"/>
    <w:rsid w:val="00B5126C"/>
    <w:rsid w:val="00B52C27"/>
    <w:rsid w:val="00B52F64"/>
    <w:rsid w:val="00B555EB"/>
    <w:rsid w:val="00B565AA"/>
    <w:rsid w:val="00B566AF"/>
    <w:rsid w:val="00B6111F"/>
    <w:rsid w:val="00B6390B"/>
    <w:rsid w:val="00B74694"/>
    <w:rsid w:val="00B74D14"/>
    <w:rsid w:val="00B751CD"/>
    <w:rsid w:val="00B76A8B"/>
    <w:rsid w:val="00B80CE7"/>
    <w:rsid w:val="00B81502"/>
    <w:rsid w:val="00B85B4F"/>
    <w:rsid w:val="00B91329"/>
    <w:rsid w:val="00B9244F"/>
    <w:rsid w:val="00B9347F"/>
    <w:rsid w:val="00B934F8"/>
    <w:rsid w:val="00B93855"/>
    <w:rsid w:val="00B93A61"/>
    <w:rsid w:val="00B95E94"/>
    <w:rsid w:val="00BA277D"/>
    <w:rsid w:val="00BA39E6"/>
    <w:rsid w:val="00BA5005"/>
    <w:rsid w:val="00BA56ED"/>
    <w:rsid w:val="00BA5CA9"/>
    <w:rsid w:val="00BA671B"/>
    <w:rsid w:val="00BA67C9"/>
    <w:rsid w:val="00BA689E"/>
    <w:rsid w:val="00BA7BC1"/>
    <w:rsid w:val="00BB01C4"/>
    <w:rsid w:val="00BB04A5"/>
    <w:rsid w:val="00BB37A5"/>
    <w:rsid w:val="00BB3BA6"/>
    <w:rsid w:val="00BC3479"/>
    <w:rsid w:val="00BC4903"/>
    <w:rsid w:val="00BC66A3"/>
    <w:rsid w:val="00BC6941"/>
    <w:rsid w:val="00BC7861"/>
    <w:rsid w:val="00BD089C"/>
    <w:rsid w:val="00BD3287"/>
    <w:rsid w:val="00BE0E3D"/>
    <w:rsid w:val="00BE2882"/>
    <w:rsid w:val="00BE6419"/>
    <w:rsid w:val="00BF1046"/>
    <w:rsid w:val="00BF14A5"/>
    <w:rsid w:val="00BF1658"/>
    <w:rsid w:val="00BF1EE9"/>
    <w:rsid w:val="00BF6799"/>
    <w:rsid w:val="00BF756C"/>
    <w:rsid w:val="00C078BD"/>
    <w:rsid w:val="00C07D35"/>
    <w:rsid w:val="00C07E4D"/>
    <w:rsid w:val="00C100B3"/>
    <w:rsid w:val="00C1784A"/>
    <w:rsid w:val="00C17AB8"/>
    <w:rsid w:val="00C222C5"/>
    <w:rsid w:val="00C23F54"/>
    <w:rsid w:val="00C24294"/>
    <w:rsid w:val="00C242F7"/>
    <w:rsid w:val="00C24F13"/>
    <w:rsid w:val="00C2669A"/>
    <w:rsid w:val="00C278E7"/>
    <w:rsid w:val="00C3002C"/>
    <w:rsid w:val="00C310C7"/>
    <w:rsid w:val="00C31CB0"/>
    <w:rsid w:val="00C33282"/>
    <w:rsid w:val="00C33F04"/>
    <w:rsid w:val="00C34061"/>
    <w:rsid w:val="00C34C08"/>
    <w:rsid w:val="00C355DD"/>
    <w:rsid w:val="00C36BFF"/>
    <w:rsid w:val="00C37F5D"/>
    <w:rsid w:val="00C4045D"/>
    <w:rsid w:val="00C505C3"/>
    <w:rsid w:val="00C51218"/>
    <w:rsid w:val="00C51DFC"/>
    <w:rsid w:val="00C56260"/>
    <w:rsid w:val="00C5715C"/>
    <w:rsid w:val="00C65A79"/>
    <w:rsid w:val="00C70F5F"/>
    <w:rsid w:val="00C75BBE"/>
    <w:rsid w:val="00C75CC5"/>
    <w:rsid w:val="00C773D8"/>
    <w:rsid w:val="00C805CD"/>
    <w:rsid w:val="00C87590"/>
    <w:rsid w:val="00C95020"/>
    <w:rsid w:val="00C96FBA"/>
    <w:rsid w:val="00C97F77"/>
    <w:rsid w:val="00CA02E4"/>
    <w:rsid w:val="00CA3E1C"/>
    <w:rsid w:val="00CA5AD1"/>
    <w:rsid w:val="00CA6E56"/>
    <w:rsid w:val="00CA7223"/>
    <w:rsid w:val="00CB16C9"/>
    <w:rsid w:val="00CB1CC0"/>
    <w:rsid w:val="00CB2061"/>
    <w:rsid w:val="00CB4CE4"/>
    <w:rsid w:val="00CB501F"/>
    <w:rsid w:val="00CC1625"/>
    <w:rsid w:val="00CC2B91"/>
    <w:rsid w:val="00CC2BAF"/>
    <w:rsid w:val="00CC43AB"/>
    <w:rsid w:val="00CC4722"/>
    <w:rsid w:val="00CD1B6C"/>
    <w:rsid w:val="00CD7616"/>
    <w:rsid w:val="00CD7888"/>
    <w:rsid w:val="00CE09D9"/>
    <w:rsid w:val="00CE2BA6"/>
    <w:rsid w:val="00CE48C4"/>
    <w:rsid w:val="00CF0F6D"/>
    <w:rsid w:val="00CF2038"/>
    <w:rsid w:val="00CF36EF"/>
    <w:rsid w:val="00CF6ACC"/>
    <w:rsid w:val="00D015AB"/>
    <w:rsid w:val="00D05667"/>
    <w:rsid w:val="00D0607B"/>
    <w:rsid w:val="00D06823"/>
    <w:rsid w:val="00D07332"/>
    <w:rsid w:val="00D124AC"/>
    <w:rsid w:val="00D13029"/>
    <w:rsid w:val="00D13A80"/>
    <w:rsid w:val="00D17C82"/>
    <w:rsid w:val="00D2087F"/>
    <w:rsid w:val="00D258F5"/>
    <w:rsid w:val="00D26DD7"/>
    <w:rsid w:val="00D27667"/>
    <w:rsid w:val="00D276BD"/>
    <w:rsid w:val="00D3151F"/>
    <w:rsid w:val="00D3210A"/>
    <w:rsid w:val="00D35741"/>
    <w:rsid w:val="00D3595A"/>
    <w:rsid w:val="00D411DF"/>
    <w:rsid w:val="00D4248A"/>
    <w:rsid w:val="00D47C45"/>
    <w:rsid w:val="00D525FF"/>
    <w:rsid w:val="00D554C9"/>
    <w:rsid w:val="00D56F85"/>
    <w:rsid w:val="00D57E3B"/>
    <w:rsid w:val="00D61AF3"/>
    <w:rsid w:val="00D61B2D"/>
    <w:rsid w:val="00D62C6D"/>
    <w:rsid w:val="00D66C7B"/>
    <w:rsid w:val="00D67105"/>
    <w:rsid w:val="00D7295C"/>
    <w:rsid w:val="00D7354A"/>
    <w:rsid w:val="00D73C0F"/>
    <w:rsid w:val="00D826F1"/>
    <w:rsid w:val="00D840F6"/>
    <w:rsid w:val="00D86646"/>
    <w:rsid w:val="00D87AC7"/>
    <w:rsid w:val="00D91FA5"/>
    <w:rsid w:val="00D920CA"/>
    <w:rsid w:val="00D92644"/>
    <w:rsid w:val="00D928BF"/>
    <w:rsid w:val="00D93114"/>
    <w:rsid w:val="00D94213"/>
    <w:rsid w:val="00D943A8"/>
    <w:rsid w:val="00DA39D9"/>
    <w:rsid w:val="00DA5089"/>
    <w:rsid w:val="00DA7155"/>
    <w:rsid w:val="00DB24FF"/>
    <w:rsid w:val="00DB28D3"/>
    <w:rsid w:val="00DB3018"/>
    <w:rsid w:val="00DB43D0"/>
    <w:rsid w:val="00DB4732"/>
    <w:rsid w:val="00DB47AC"/>
    <w:rsid w:val="00DB7D87"/>
    <w:rsid w:val="00DC2C5A"/>
    <w:rsid w:val="00DC424B"/>
    <w:rsid w:val="00DC433E"/>
    <w:rsid w:val="00DC458C"/>
    <w:rsid w:val="00DC5845"/>
    <w:rsid w:val="00DC5EB6"/>
    <w:rsid w:val="00DD2417"/>
    <w:rsid w:val="00DD3A5D"/>
    <w:rsid w:val="00DD4593"/>
    <w:rsid w:val="00DD541B"/>
    <w:rsid w:val="00DE2238"/>
    <w:rsid w:val="00DE40FD"/>
    <w:rsid w:val="00DE5345"/>
    <w:rsid w:val="00DE6561"/>
    <w:rsid w:val="00DF08D1"/>
    <w:rsid w:val="00DF10F7"/>
    <w:rsid w:val="00DF243E"/>
    <w:rsid w:val="00DF2C1B"/>
    <w:rsid w:val="00DF2E5B"/>
    <w:rsid w:val="00E007F3"/>
    <w:rsid w:val="00E00F75"/>
    <w:rsid w:val="00E05173"/>
    <w:rsid w:val="00E12C06"/>
    <w:rsid w:val="00E172D8"/>
    <w:rsid w:val="00E21AA0"/>
    <w:rsid w:val="00E229A1"/>
    <w:rsid w:val="00E243C6"/>
    <w:rsid w:val="00E301A0"/>
    <w:rsid w:val="00E31254"/>
    <w:rsid w:val="00E33BBB"/>
    <w:rsid w:val="00E4243A"/>
    <w:rsid w:val="00E47ED0"/>
    <w:rsid w:val="00E5041F"/>
    <w:rsid w:val="00E50A07"/>
    <w:rsid w:val="00E533FD"/>
    <w:rsid w:val="00E53484"/>
    <w:rsid w:val="00E53E80"/>
    <w:rsid w:val="00E549CB"/>
    <w:rsid w:val="00E54E80"/>
    <w:rsid w:val="00E55C01"/>
    <w:rsid w:val="00E57626"/>
    <w:rsid w:val="00E6069B"/>
    <w:rsid w:val="00E61B9D"/>
    <w:rsid w:val="00E62F22"/>
    <w:rsid w:val="00E62F33"/>
    <w:rsid w:val="00E64151"/>
    <w:rsid w:val="00E64FCF"/>
    <w:rsid w:val="00E65B0A"/>
    <w:rsid w:val="00E6749E"/>
    <w:rsid w:val="00E73BE6"/>
    <w:rsid w:val="00E73EDF"/>
    <w:rsid w:val="00E7556F"/>
    <w:rsid w:val="00E819F3"/>
    <w:rsid w:val="00E83718"/>
    <w:rsid w:val="00E83722"/>
    <w:rsid w:val="00E84936"/>
    <w:rsid w:val="00E85EDD"/>
    <w:rsid w:val="00E86E16"/>
    <w:rsid w:val="00E876BB"/>
    <w:rsid w:val="00E91297"/>
    <w:rsid w:val="00E9270C"/>
    <w:rsid w:val="00E933B1"/>
    <w:rsid w:val="00E941F4"/>
    <w:rsid w:val="00E947CE"/>
    <w:rsid w:val="00E956B8"/>
    <w:rsid w:val="00EA1CF4"/>
    <w:rsid w:val="00EA1F89"/>
    <w:rsid w:val="00EA3277"/>
    <w:rsid w:val="00EA5508"/>
    <w:rsid w:val="00EA65A6"/>
    <w:rsid w:val="00EB317E"/>
    <w:rsid w:val="00EB5CC4"/>
    <w:rsid w:val="00EC42FE"/>
    <w:rsid w:val="00EC6038"/>
    <w:rsid w:val="00ED12DE"/>
    <w:rsid w:val="00ED40B8"/>
    <w:rsid w:val="00ED460F"/>
    <w:rsid w:val="00ED5BD6"/>
    <w:rsid w:val="00EE193C"/>
    <w:rsid w:val="00EE2157"/>
    <w:rsid w:val="00EE247D"/>
    <w:rsid w:val="00EE2492"/>
    <w:rsid w:val="00EE6212"/>
    <w:rsid w:val="00EE7F4B"/>
    <w:rsid w:val="00EF0F15"/>
    <w:rsid w:val="00EF2A38"/>
    <w:rsid w:val="00EF2F65"/>
    <w:rsid w:val="00EF5514"/>
    <w:rsid w:val="00EF630A"/>
    <w:rsid w:val="00EF751C"/>
    <w:rsid w:val="00EF7CCE"/>
    <w:rsid w:val="00F02439"/>
    <w:rsid w:val="00F02CF3"/>
    <w:rsid w:val="00F10048"/>
    <w:rsid w:val="00F14993"/>
    <w:rsid w:val="00F1569F"/>
    <w:rsid w:val="00F15778"/>
    <w:rsid w:val="00F16209"/>
    <w:rsid w:val="00F17C88"/>
    <w:rsid w:val="00F2197B"/>
    <w:rsid w:val="00F239E4"/>
    <w:rsid w:val="00F244FF"/>
    <w:rsid w:val="00F2525D"/>
    <w:rsid w:val="00F30155"/>
    <w:rsid w:val="00F31F34"/>
    <w:rsid w:val="00F33F04"/>
    <w:rsid w:val="00F34C2E"/>
    <w:rsid w:val="00F357A5"/>
    <w:rsid w:val="00F41C3B"/>
    <w:rsid w:val="00F5251C"/>
    <w:rsid w:val="00F53FA8"/>
    <w:rsid w:val="00F56E2D"/>
    <w:rsid w:val="00F60C63"/>
    <w:rsid w:val="00F60EE4"/>
    <w:rsid w:val="00F61A39"/>
    <w:rsid w:val="00F61E1E"/>
    <w:rsid w:val="00F63860"/>
    <w:rsid w:val="00F66EB5"/>
    <w:rsid w:val="00F7028A"/>
    <w:rsid w:val="00F7121D"/>
    <w:rsid w:val="00F71EAD"/>
    <w:rsid w:val="00F72A8E"/>
    <w:rsid w:val="00F76580"/>
    <w:rsid w:val="00F8111C"/>
    <w:rsid w:val="00F8164D"/>
    <w:rsid w:val="00F81AD9"/>
    <w:rsid w:val="00F834D6"/>
    <w:rsid w:val="00F856B5"/>
    <w:rsid w:val="00F86712"/>
    <w:rsid w:val="00F86DDE"/>
    <w:rsid w:val="00F94854"/>
    <w:rsid w:val="00F95B49"/>
    <w:rsid w:val="00F965F3"/>
    <w:rsid w:val="00F97265"/>
    <w:rsid w:val="00FA00AF"/>
    <w:rsid w:val="00FA2070"/>
    <w:rsid w:val="00FA306E"/>
    <w:rsid w:val="00FB05E4"/>
    <w:rsid w:val="00FB3644"/>
    <w:rsid w:val="00FB39BF"/>
    <w:rsid w:val="00FB6707"/>
    <w:rsid w:val="00FC00DF"/>
    <w:rsid w:val="00FC55AE"/>
    <w:rsid w:val="00FC6A4D"/>
    <w:rsid w:val="00FD03D6"/>
    <w:rsid w:val="00FD07D2"/>
    <w:rsid w:val="00FD3CFD"/>
    <w:rsid w:val="00FD3EE3"/>
    <w:rsid w:val="00FD431F"/>
    <w:rsid w:val="00FD4D2E"/>
    <w:rsid w:val="00FD7A60"/>
    <w:rsid w:val="00FD7F69"/>
    <w:rsid w:val="00FE0840"/>
    <w:rsid w:val="00FE1CED"/>
    <w:rsid w:val="00FE4132"/>
    <w:rsid w:val="00FE7AC3"/>
    <w:rsid w:val="00FF00A7"/>
    <w:rsid w:val="00FF3F48"/>
    <w:rsid w:val="00FF5073"/>
    <w:rsid w:val="00FF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CBFDB04"/>
  <w15:docId w15:val="{58A645AE-D65B-4109-8D82-57B2644E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272D"/>
    <w:rPr>
      <w:rFonts w:ascii="Arial" w:hAnsi="Arial"/>
      <w:sz w:val="22"/>
    </w:rPr>
  </w:style>
  <w:style w:type="paragraph" w:styleId="Heading1">
    <w:name w:val="heading 1"/>
    <w:basedOn w:val="Normal"/>
    <w:next w:val="Normal"/>
    <w:link w:val="Heading1Char"/>
    <w:uiPriority w:val="9"/>
    <w:qFormat/>
    <w:rsid w:val="00BA5005"/>
    <w:pPr>
      <w:keepNext/>
      <w:jc w:val="center"/>
      <w:outlineLvl w:val="0"/>
    </w:pPr>
    <w:rPr>
      <w:rFonts w:ascii="Times New Roman" w:hAnsi="Times New Roman"/>
      <w:b/>
      <w:i/>
      <w:sz w:val="24"/>
    </w:rPr>
  </w:style>
  <w:style w:type="paragraph" w:styleId="Heading2">
    <w:name w:val="heading 2"/>
    <w:basedOn w:val="Normal"/>
    <w:next w:val="Normal"/>
    <w:qFormat/>
    <w:rsid w:val="00BA5005"/>
    <w:pPr>
      <w:keepNext/>
      <w:outlineLvl w:val="1"/>
    </w:pPr>
    <w:rPr>
      <w:b/>
      <w:sz w:val="20"/>
    </w:rPr>
  </w:style>
  <w:style w:type="paragraph" w:styleId="Heading4">
    <w:name w:val="heading 4"/>
    <w:basedOn w:val="Normal"/>
    <w:next w:val="Normal"/>
    <w:link w:val="Heading4Char"/>
    <w:uiPriority w:val="9"/>
    <w:semiHidden/>
    <w:unhideWhenUsed/>
    <w:qFormat/>
    <w:rsid w:val="0031161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F6AC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F6AC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1161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CF6AC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CF6ACC"/>
    <w:rPr>
      <w:rFonts w:asciiTheme="majorHAnsi" w:eastAsiaTheme="majorEastAsia" w:hAnsiTheme="majorHAnsi" w:cstheme="majorBidi"/>
      <w:color w:val="243F60" w:themeColor="accent1" w:themeShade="7F"/>
      <w:sz w:val="22"/>
    </w:rPr>
  </w:style>
  <w:style w:type="paragraph" w:styleId="Title">
    <w:name w:val="Title"/>
    <w:basedOn w:val="Normal"/>
    <w:link w:val="TitleChar"/>
    <w:uiPriority w:val="10"/>
    <w:qFormat/>
    <w:rsid w:val="00BA5005"/>
    <w:pPr>
      <w:jc w:val="center"/>
    </w:pPr>
    <w:rPr>
      <w:rFonts w:ascii="Times New Roman" w:hAnsi="Times New Roman"/>
      <w:sz w:val="36"/>
    </w:rPr>
  </w:style>
  <w:style w:type="character" w:styleId="Hyperlink">
    <w:name w:val="Hyperlink"/>
    <w:basedOn w:val="DefaultParagraphFont"/>
    <w:uiPriority w:val="99"/>
    <w:unhideWhenUsed/>
    <w:rsid w:val="00330635"/>
    <w:rPr>
      <w:color w:val="0000FF"/>
      <w:u w:val="single"/>
    </w:rPr>
  </w:style>
  <w:style w:type="paragraph" w:styleId="NormalWeb">
    <w:name w:val="Normal (Web)"/>
    <w:basedOn w:val="Normal"/>
    <w:uiPriority w:val="99"/>
    <w:semiHidden/>
    <w:unhideWhenUsed/>
    <w:rsid w:val="00330635"/>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330635"/>
    <w:pPr>
      <w:autoSpaceDE w:val="0"/>
      <w:autoSpaceDN w:val="0"/>
      <w:adjustRightInd w:val="0"/>
    </w:pPr>
    <w:rPr>
      <w:rFonts w:ascii="Arial" w:hAnsi="Arial" w:cs="Arial"/>
      <w:b/>
      <w:color w:val="000000"/>
      <w:sz w:val="24"/>
      <w:szCs w:val="24"/>
    </w:rPr>
  </w:style>
  <w:style w:type="character" w:styleId="FollowedHyperlink">
    <w:name w:val="FollowedHyperlink"/>
    <w:basedOn w:val="DefaultParagraphFont"/>
    <w:uiPriority w:val="99"/>
    <w:semiHidden/>
    <w:unhideWhenUsed/>
    <w:rsid w:val="00330635"/>
    <w:rPr>
      <w:color w:val="800080" w:themeColor="followedHyperlink"/>
      <w:u w:val="single"/>
    </w:rPr>
  </w:style>
  <w:style w:type="paragraph" w:styleId="ListParagraph">
    <w:name w:val="List Paragraph"/>
    <w:basedOn w:val="Normal"/>
    <w:uiPriority w:val="34"/>
    <w:qFormat/>
    <w:rsid w:val="00C2669A"/>
    <w:pPr>
      <w:ind w:left="720"/>
      <w:contextualSpacing/>
    </w:pPr>
  </w:style>
  <w:style w:type="paragraph" w:customStyle="1" w:styleId="LRWLBodyTextBullet1">
    <w:name w:val="LRWL Body Text Bullet 1"/>
    <w:basedOn w:val="Normal"/>
    <w:link w:val="LRWLBodyTextBullet1Char"/>
    <w:qFormat/>
    <w:rsid w:val="00C2669A"/>
    <w:pPr>
      <w:numPr>
        <w:numId w:val="1"/>
      </w:numPr>
      <w:spacing w:before="120" w:after="120"/>
    </w:pPr>
    <w:rPr>
      <w:szCs w:val="22"/>
    </w:rPr>
  </w:style>
  <w:style w:type="character" w:customStyle="1" w:styleId="LRWLBodyTextBullet1Char">
    <w:name w:val="LRWL Body Text Bullet 1 Char"/>
    <w:basedOn w:val="DefaultParagraphFont"/>
    <w:link w:val="LRWLBodyTextBullet1"/>
    <w:rsid w:val="00C2669A"/>
    <w:rPr>
      <w:rFonts w:ascii="Arial" w:hAnsi="Arial"/>
      <w:sz w:val="22"/>
      <w:szCs w:val="22"/>
    </w:rPr>
  </w:style>
  <w:style w:type="paragraph" w:styleId="Header">
    <w:name w:val="header"/>
    <w:basedOn w:val="Normal"/>
    <w:link w:val="HeaderChar"/>
    <w:uiPriority w:val="99"/>
    <w:unhideWhenUsed/>
    <w:rsid w:val="00E172D8"/>
    <w:pPr>
      <w:tabs>
        <w:tab w:val="center" w:pos="4680"/>
        <w:tab w:val="right" w:pos="9360"/>
      </w:tabs>
    </w:pPr>
  </w:style>
  <w:style w:type="character" w:customStyle="1" w:styleId="HeaderChar">
    <w:name w:val="Header Char"/>
    <w:basedOn w:val="DefaultParagraphFont"/>
    <w:link w:val="Header"/>
    <w:uiPriority w:val="99"/>
    <w:rsid w:val="00E172D8"/>
    <w:rPr>
      <w:rFonts w:ascii="Arial" w:hAnsi="Arial"/>
      <w:sz w:val="22"/>
    </w:rPr>
  </w:style>
  <w:style w:type="paragraph" w:styleId="Footer">
    <w:name w:val="footer"/>
    <w:basedOn w:val="Normal"/>
    <w:link w:val="FooterChar"/>
    <w:uiPriority w:val="99"/>
    <w:unhideWhenUsed/>
    <w:rsid w:val="00E172D8"/>
    <w:pPr>
      <w:tabs>
        <w:tab w:val="center" w:pos="4680"/>
        <w:tab w:val="right" w:pos="9360"/>
      </w:tabs>
    </w:pPr>
  </w:style>
  <w:style w:type="character" w:customStyle="1" w:styleId="FooterChar">
    <w:name w:val="Footer Char"/>
    <w:basedOn w:val="DefaultParagraphFont"/>
    <w:link w:val="Footer"/>
    <w:uiPriority w:val="99"/>
    <w:rsid w:val="00E172D8"/>
    <w:rPr>
      <w:rFonts w:ascii="Arial" w:hAnsi="Arial"/>
      <w:sz w:val="22"/>
    </w:rPr>
  </w:style>
  <w:style w:type="paragraph" w:styleId="BalloonText">
    <w:name w:val="Balloon Text"/>
    <w:basedOn w:val="Normal"/>
    <w:link w:val="BalloonTextChar"/>
    <w:uiPriority w:val="99"/>
    <w:semiHidden/>
    <w:unhideWhenUsed/>
    <w:rsid w:val="009C4E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EF5"/>
    <w:rPr>
      <w:rFonts w:ascii="Segoe UI" w:hAnsi="Segoe UI" w:cs="Segoe UI"/>
      <w:sz w:val="18"/>
      <w:szCs w:val="18"/>
    </w:rPr>
  </w:style>
  <w:style w:type="character" w:styleId="CommentReference">
    <w:name w:val="annotation reference"/>
    <w:basedOn w:val="DefaultParagraphFont"/>
    <w:uiPriority w:val="99"/>
    <w:unhideWhenUsed/>
    <w:rsid w:val="00261A7C"/>
    <w:rPr>
      <w:sz w:val="16"/>
      <w:szCs w:val="16"/>
    </w:rPr>
  </w:style>
  <w:style w:type="paragraph" w:styleId="CommentText">
    <w:name w:val="annotation text"/>
    <w:basedOn w:val="Normal"/>
    <w:link w:val="CommentTextChar"/>
    <w:uiPriority w:val="99"/>
    <w:unhideWhenUsed/>
    <w:rsid w:val="00261A7C"/>
    <w:rPr>
      <w:sz w:val="20"/>
    </w:rPr>
  </w:style>
  <w:style w:type="character" w:customStyle="1" w:styleId="CommentTextChar">
    <w:name w:val="Comment Text Char"/>
    <w:basedOn w:val="DefaultParagraphFont"/>
    <w:link w:val="CommentText"/>
    <w:uiPriority w:val="99"/>
    <w:rsid w:val="00261A7C"/>
    <w:rPr>
      <w:rFonts w:ascii="Arial" w:hAnsi="Arial"/>
    </w:rPr>
  </w:style>
  <w:style w:type="paragraph" w:styleId="CommentSubject">
    <w:name w:val="annotation subject"/>
    <w:basedOn w:val="CommentText"/>
    <w:next w:val="CommentText"/>
    <w:link w:val="CommentSubjectChar"/>
    <w:uiPriority w:val="99"/>
    <w:semiHidden/>
    <w:unhideWhenUsed/>
    <w:rsid w:val="00261A7C"/>
    <w:rPr>
      <w:b/>
      <w:bCs/>
    </w:rPr>
  </w:style>
  <w:style w:type="character" w:customStyle="1" w:styleId="CommentSubjectChar">
    <w:name w:val="Comment Subject Char"/>
    <w:basedOn w:val="CommentTextChar"/>
    <w:link w:val="CommentSubject"/>
    <w:uiPriority w:val="99"/>
    <w:semiHidden/>
    <w:rsid w:val="00261A7C"/>
    <w:rPr>
      <w:rFonts w:ascii="Arial" w:hAnsi="Arial"/>
      <w:b/>
      <w:bCs/>
    </w:rPr>
  </w:style>
  <w:style w:type="paragraph" w:styleId="Revision">
    <w:name w:val="Revision"/>
    <w:hidden/>
    <w:uiPriority w:val="99"/>
    <w:semiHidden/>
    <w:rsid w:val="00BB3BA6"/>
    <w:rPr>
      <w:rFonts w:ascii="Arial" w:hAnsi="Arial"/>
      <w:sz w:val="22"/>
    </w:rPr>
  </w:style>
  <w:style w:type="paragraph" w:customStyle="1" w:styleId="font5">
    <w:name w:val="font5"/>
    <w:basedOn w:val="Normal"/>
    <w:rsid w:val="003532FD"/>
    <w:pPr>
      <w:spacing w:before="100" w:beforeAutospacing="1" w:after="100" w:afterAutospacing="1"/>
    </w:pPr>
    <w:rPr>
      <w:rFonts w:cs="Arial"/>
      <w:b/>
      <w:bCs/>
      <w:sz w:val="20"/>
    </w:rPr>
  </w:style>
  <w:style w:type="paragraph" w:customStyle="1" w:styleId="font6">
    <w:name w:val="font6"/>
    <w:basedOn w:val="Normal"/>
    <w:rsid w:val="003532FD"/>
    <w:pPr>
      <w:spacing w:before="100" w:beforeAutospacing="1" w:after="100" w:afterAutospacing="1"/>
    </w:pPr>
    <w:rPr>
      <w:rFonts w:cs="Arial"/>
      <w:sz w:val="20"/>
    </w:rPr>
  </w:style>
  <w:style w:type="paragraph" w:customStyle="1" w:styleId="font7">
    <w:name w:val="font7"/>
    <w:basedOn w:val="Normal"/>
    <w:rsid w:val="003532FD"/>
    <w:pPr>
      <w:spacing w:before="100" w:beforeAutospacing="1" w:after="100" w:afterAutospacing="1"/>
    </w:pPr>
    <w:rPr>
      <w:rFonts w:cs="Arial"/>
      <w:b/>
      <w:bCs/>
      <w:sz w:val="20"/>
    </w:rPr>
  </w:style>
  <w:style w:type="paragraph" w:customStyle="1" w:styleId="xl65">
    <w:name w:val="xl65"/>
    <w:basedOn w:val="Normal"/>
    <w:rsid w:val="003532FD"/>
    <w:pPr>
      <w:spacing w:before="100" w:beforeAutospacing="1" w:after="100" w:afterAutospacing="1"/>
    </w:pPr>
    <w:rPr>
      <w:rFonts w:cs="Arial"/>
      <w:b/>
      <w:bCs/>
      <w:sz w:val="20"/>
    </w:rPr>
  </w:style>
  <w:style w:type="paragraph" w:customStyle="1" w:styleId="xl66">
    <w:name w:val="xl66"/>
    <w:basedOn w:val="Normal"/>
    <w:rsid w:val="003532FD"/>
    <w:pPr>
      <w:spacing w:before="100" w:beforeAutospacing="1" w:after="100" w:afterAutospacing="1"/>
    </w:pPr>
    <w:rPr>
      <w:rFonts w:cs="Arial"/>
      <w:sz w:val="20"/>
    </w:rPr>
  </w:style>
  <w:style w:type="paragraph" w:customStyle="1" w:styleId="xl67">
    <w:name w:val="xl67"/>
    <w:basedOn w:val="Normal"/>
    <w:rsid w:val="003532FD"/>
    <w:pPr>
      <w:shd w:val="clear" w:color="000000" w:fill="BDD7EE"/>
      <w:spacing w:before="100" w:beforeAutospacing="1" w:after="100" w:afterAutospacing="1"/>
    </w:pPr>
    <w:rPr>
      <w:rFonts w:cs="Arial"/>
      <w:b/>
      <w:bCs/>
      <w:sz w:val="20"/>
    </w:rPr>
  </w:style>
  <w:style w:type="paragraph" w:customStyle="1" w:styleId="xl68">
    <w:name w:val="xl68"/>
    <w:basedOn w:val="Normal"/>
    <w:rsid w:val="003532FD"/>
    <w:pPr>
      <w:spacing w:before="100" w:beforeAutospacing="1" w:after="100" w:afterAutospacing="1"/>
      <w:jc w:val="center"/>
      <w:textAlignment w:val="center"/>
    </w:pPr>
    <w:rPr>
      <w:rFonts w:cs="Arial"/>
      <w:sz w:val="20"/>
    </w:rPr>
  </w:style>
  <w:style w:type="paragraph" w:customStyle="1" w:styleId="xl69">
    <w:name w:val="xl69"/>
    <w:basedOn w:val="Normal"/>
    <w:rsid w:val="003532FD"/>
    <w:pPr>
      <w:spacing w:before="100" w:beforeAutospacing="1" w:after="100" w:afterAutospacing="1"/>
      <w:textAlignment w:val="top"/>
    </w:pPr>
    <w:rPr>
      <w:rFonts w:cs="Arial"/>
      <w:sz w:val="20"/>
    </w:rPr>
  </w:style>
  <w:style w:type="paragraph" w:customStyle="1" w:styleId="xl70">
    <w:name w:val="xl70"/>
    <w:basedOn w:val="Normal"/>
    <w:rsid w:val="003532FD"/>
    <w:pPr>
      <w:shd w:val="clear" w:color="000000" w:fill="BDD7EE"/>
      <w:spacing w:before="100" w:beforeAutospacing="1" w:after="100" w:afterAutospacing="1"/>
    </w:pPr>
    <w:rPr>
      <w:rFonts w:cs="Arial"/>
      <w:sz w:val="20"/>
    </w:rPr>
  </w:style>
  <w:style w:type="paragraph" w:customStyle="1" w:styleId="xl71">
    <w:name w:val="xl71"/>
    <w:basedOn w:val="Normal"/>
    <w:rsid w:val="003532FD"/>
    <w:pPr>
      <w:shd w:val="clear" w:color="000000" w:fill="E7E6E6"/>
      <w:spacing w:before="100" w:beforeAutospacing="1" w:after="100" w:afterAutospacing="1"/>
    </w:pPr>
    <w:rPr>
      <w:rFonts w:cs="Arial"/>
      <w:b/>
      <w:bCs/>
      <w:sz w:val="20"/>
    </w:rPr>
  </w:style>
  <w:style w:type="paragraph" w:customStyle="1" w:styleId="xl72">
    <w:name w:val="xl72"/>
    <w:basedOn w:val="Normal"/>
    <w:rsid w:val="003532FD"/>
    <w:pPr>
      <w:shd w:val="clear" w:color="000000" w:fill="E7E6E6"/>
      <w:spacing w:before="100" w:beforeAutospacing="1" w:after="100" w:afterAutospacing="1"/>
    </w:pPr>
    <w:rPr>
      <w:rFonts w:cs="Arial"/>
      <w:sz w:val="20"/>
    </w:rPr>
  </w:style>
  <w:style w:type="paragraph" w:customStyle="1" w:styleId="xl73">
    <w:name w:val="xl73"/>
    <w:basedOn w:val="Normal"/>
    <w:rsid w:val="003532FD"/>
    <w:pPr>
      <w:spacing w:before="100" w:beforeAutospacing="1" w:after="100" w:afterAutospacing="1"/>
      <w:jc w:val="center"/>
      <w:textAlignment w:val="center"/>
    </w:pPr>
    <w:rPr>
      <w:rFonts w:cs="Arial"/>
      <w:b/>
      <w:bCs/>
      <w:sz w:val="20"/>
    </w:rPr>
  </w:style>
  <w:style w:type="paragraph" w:customStyle="1" w:styleId="xl74">
    <w:name w:val="xl74"/>
    <w:basedOn w:val="Normal"/>
    <w:rsid w:val="003532FD"/>
    <w:pPr>
      <w:spacing w:before="100" w:beforeAutospacing="1" w:after="100" w:afterAutospacing="1"/>
      <w:textAlignment w:val="top"/>
    </w:pPr>
    <w:rPr>
      <w:rFonts w:cs="Arial"/>
      <w:b/>
      <w:bCs/>
      <w:sz w:val="20"/>
    </w:rPr>
  </w:style>
  <w:style w:type="paragraph" w:customStyle="1" w:styleId="xl75">
    <w:name w:val="xl75"/>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rPr>
  </w:style>
  <w:style w:type="paragraph" w:customStyle="1" w:styleId="xl76">
    <w:name w:val="xl76"/>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0"/>
    </w:rPr>
  </w:style>
  <w:style w:type="paragraph" w:customStyle="1" w:styleId="xl77">
    <w:name w:val="xl77"/>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78">
    <w:name w:val="xl78"/>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rPr>
  </w:style>
  <w:style w:type="paragraph" w:customStyle="1" w:styleId="xl79">
    <w:name w:val="xl79"/>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cs="Arial"/>
      <w:b/>
      <w:bCs/>
      <w:sz w:val="20"/>
    </w:rPr>
  </w:style>
  <w:style w:type="paragraph" w:customStyle="1" w:styleId="xl80">
    <w:name w:val="xl80"/>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cs="Arial"/>
      <w:b/>
      <w:bCs/>
      <w:sz w:val="20"/>
    </w:rPr>
  </w:style>
  <w:style w:type="paragraph" w:customStyle="1" w:styleId="xl81">
    <w:name w:val="xl81"/>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sz w:val="20"/>
    </w:rPr>
  </w:style>
  <w:style w:type="paragraph" w:customStyle="1" w:styleId="xl82">
    <w:name w:val="xl82"/>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top"/>
    </w:pPr>
    <w:rPr>
      <w:rFonts w:cs="Arial"/>
      <w:sz w:val="20"/>
    </w:rPr>
  </w:style>
  <w:style w:type="paragraph" w:customStyle="1" w:styleId="xl83">
    <w:name w:val="xl83"/>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cs="Arial"/>
      <w:b/>
      <w:bCs/>
      <w:sz w:val="20"/>
    </w:rPr>
  </w:style>
  <w:style w:type="paragraph" w:customStyle="1" w:styleId="xl84">
    <w:name w:val="xl84"/>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cs="Arial"/>
      <w:b/>
      <w:bCs/>
      <w:sz w:val="20"/>
    </w:rPr>
  </w:style>
  <w:style w:type="paragraph" w:customStyle="1" w:styleId="xl85">
    <w:name w:val="xl85"/>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sz w:val="20"/>
    </w:rPr>
  </w:style>
  <w:style w:type="paragraph" w:customStyle="1" w:styleId="xl86">
    <w:name w:val="xl86"/>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cs="Arial"/>
      <w:sz w:val="20"/>
    </w:rPr>
  </w:style>
  <w:style w:type="paragraph" w:customStyle="1" w:styleId="xl87">
    <w:name w:val="xl87"/>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b/>
      <w:bCs/>
      <w:sz w:val="20"/>
    </w:rPr>
  </w:style>
  <w:style w:type="paragraph" w:customStyle="1" w:styleId="xl88">
    <w:name w:val="xl88"/>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cs="Arial"/>
      <w:b/>
      <w:bCs/>
      <w:sz w:val="20"/>
    </w:rPr>
  </w:style>
  <w:style w:type="paragraph" w:customStyle="1" w:styleId="xl89">
    <w:name w:val="xl89"/>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cs="Arial"/>
      <w:b/>
      <w:bCs/>
      <w:sz w:val="20"/>
    </w:rPr>
  </w:style>
  <w:style w:type="paragraph" w:customStyle="1" w:styleId="xl90">
    <w:name w:val="xl90"/>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b/>
      <w:bCs/>
      <w:sz w:val="20"/>
    </w:rPr>
  </w:style>
  <w:style w:type="paragraph" w:customStyle="1" w:styleId="xl91">
    <w:name w:val="xl91"/>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cs="Arial"/>
      <w:b/>
      <w:bCs/>
      <w:sz w:val="20"/>
    </w:rPr>
  </w:style>
  <w:style w:type="paragraph" w:customStyle="1" w:styleId="xl92">
    <w:name w:val="xl92"/>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cs="Arial"/>
      <w:b/>
      <w:bCs/>
      <w:sz w:val="20"/>
    </w:rPr>
  </w:style>
  <w:style w:type="paragraph" w:customStyle="1" w:styleId="xl93">
    <w:name w:val="xl93"/>
    <w:basedOn w:val="Normal"/>
    <w:rsid w:val="003532FD"/>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jc w:val="center"/>
      <w:textAlignment w:val="center"/>
    </w:pPr>
    <w:rPr>
      <w:rFonts w:cs="Arial"/>
      <w:b/>
      <w:bCs/>
      <w:sz w:val="20"/>
    </w:rPr>
  </w:style>
  <w:style w:type="paragraph" w:customStyle="1" w:styleId="xl94">
    <w:name w:val="xl94"/>
    <w:basedOn w:val="Normal"/>
    <w:rsid w:val="003532FD"/>
    <w:pPr>
      <w:spacing w:before="100" w:beforeAutospacing="1" w:after="100" w:afterAutospacing="1"/>
      <w:textAlignment w:val="center"/>
    </w:pPr>
    <w:rPr>
      <w:rFonts w:cs="Arial"/>
      <w:b/>
      <w:bCs/>
      <w:sz w:val="20"/>
    </w:rPr>
  </w:style>
  <w:style w:type="paragraph" w:customStyle="1" w:styleId="xl95">
    <w:name w:val="xl95"/>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6"/>
      <w:szCs w:val="16"/>
    </w:rPr>
  </w:style>
  <w:style w:type="paragraph" w:customStyle="1" w:styleId="xl96">
    <w:name w:val="xl96"/>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rPr>
  </w:style>
  <w:style w:type="paragraph" w:customStyle="1" w:styleId="xl97">
    <w:name w:val="xl97"/>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rPr>
  </w:style>
  <w:style w:type="paragraph" w:customStyle="1" w:styleId="xl98">
    <w:name w:val="xl98"/>
    <w:basedOn w:val="Normal"/>
    <w:rsid w:val="00353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rPr>
  </w:style>
  <w:style w:type="paragraph" w:customStyle="1" w:styleId="xl99">
    <w:name w:val="xl99"/>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sz w:val="20"/>
    </w:rPr>
  </w:style>
  <w:style w:type="paragraph" w:customStyle="1" w:styleId="xl100">
    <w:name w:val="xl100"/>
    <w:basedOn w:val="Normal"/>
    <w:rsid w:val="003532FD"/>
    <w:pPr>
      <w:pBdr>
        <w:top w:val="single" w:sz="4" w:space="0" w:color="auto"/>
        <w:left w:val="single" w:sz="4" w:space="0" w:color="auto"/>
        <w:bottom w:val="single" w:sz="4" w:space="0" w:color="auto"/>
        <w:right w:val="single" w:sz="4" w:space="0" w:color="auto"/>
      </w:pBdr>
      <w:shd w:val="clear" w:color="000000" w:fill="99FF33"/>
      <w:spacing w:before="100" w:beforeAutospacing="1" w:after="100" w:afterAutospacing="1"/>
    </w:pPr>
    <w:rPr>
      <w:rFonts w:cs="Arial"/>
      <w:b/>
      <w:bCs/>
      <w:sz w:val="20"/>
    </w:rPr>
  </w:style>
  <w:style w:type="paragraph" w:customStyle="1" w:styleId="xl101">
    <w:name w:val="xl101"/>
    <w:basedOn w:val="Normal"/>
    <w:rsid w:val="003532FD"/>
    <w:pPr>
      <w:pBdr>
        <w:top w:val="single" w:sz="4" w:space="0" w:color="auto"/>
        <w:left w:val="single" w:sz="4" w:space="0" w:color="auto"/>
        <w:bottom w:val="single" w:sz="4" w:space="0" w:color="auto"/>
        <w:right w:val="single" w:sz="4" w:space="0" w:color="auto"/>
      </w:pBdr>
      <w:shd w:val="clear" w:color="000000" w:fill="99FF33"/>
      <w:spacing w:before="100" w:beforeAutospacing="1" w:after="100" w:afterAutospacing="1"/>
    </w:pPr>
    <w:rPr>
      <w:rFonts w:cs="Arial"/>
      <w:sz w:val="20"/>
    </w:rPr>
  </w:style>
  <w:style w:type="paragraph" w:customStyle="1" w:styleId="xl102">
    <w:name w:val="xl102"/>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b/>
      <w:bCs/>
      <w:sz w:val="20"/>
    </w:rPr>
  </w:style>
  <w:style w:type="paragraph" w:customStyle="1" w:styleId="xl103">
    <w:name w:val="xl103"/>
    <w:basedOn w:val="Normal"/>
    <w:rsid w:val="003532F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rPr>
      <w:rFonts w:cs="Arial"/>
      <w:b/>
      <w:bCs/>
      <w:sz w:val="20"/>
    </w:rPr>
  </w:style>
  <w:style w:type="paragraph" w:customStyle="1" w:styleId="xl104">
    <w:name w:val="xl104"/>
    <w:basedOn w:val="Normal"/>
    <w:rsid w:val="003532F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rPr>
      <w:rFonts w:cs="Arial"/>
      <w:sz w:val="20"/>
    </w:rPr>
  </w:style>
  <w:style w:type="paragraph" w:customStyle="1" w:styleId="xl105">
    <w:name w:val="xl105"/>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sz w:val="20"/>
    </w:rPr>
  </w:style>
  <w:style w:type="paragraph" w:customStyle="1" w:styleId="xl106">
    <w:name w:val="xl106"/>
    <w:basedOn w:val="Normal"/>
    <w:rsid w:val="003532FD"/>
    <w:pPr>
      <w:shd w:val="clear" w:color="000000" w:fill="FFC000"/>
      <w:spacing w:before="100" w:beforeAutospacing="1" w:after="100" w:afterAutospacing="1"/>
    </w:pPr>
    <w:rPr>
      <w:rFonts w:cs="Arial"/>
      <w:sz w:val="20"/>
    </w:rPr>
  </w:style>
  <w:style w:type="paragraph" w:customStyle="1" w:styleId="xl107">
    <w:name w:val="xl107"/>
    <w:basedOn w:val="Normal"/>
    <w:rsid w:val="003532FD"/>
    <w:pPr>
      <w:shd w:val="clear" w:color="000000" w:fill="99FF33"/>
      <w:spacing w:before="100" w:beforeAutospacing="1" w:after="100" w:afterAutospacing="1"/>
    </w:pPr>
    <w:rPr>
      <w:rFonts w:cs="Arial"/>
      <w:sz w:val="20"/>
    </w:rPr>
  </w:style>
  <w:style w:type="paragraph" w:customStyle="1" w:styleId="xl108">
    <w:name w:val="xl108"/>
    <w:basedOn w:val="Normal"/>
    <w:rsid w:val="00353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 w:val="20"/>
    </w:rPr>
  </w:style>
  <w:style w:type="paragraph" w:customStyle="1" w:styleId="xl109">
    <w:name w:val="xl109"/>
    <w:basedOn w:val="Normal"/>
    <w:rsid w:val="003532FD"/>
    <w:pPr>
      <w:shd w:val="clear" w:color="000000" w:fill="C00000"/>
      <w:spacing w:before="100" w:beforeAutospacing="1" w:after="100" w:afterAutospacing="1"/>
    </w:pPr>
    <w:rPr>
      <w:rFonts w:cs="Arial"/>
      <w:sz w:val="20"/>
    </w:rPr>
  </w:style>
  <w:style w:type="paragraph" w:customStyle="1" w:styleId="xl110">
    <w:name w:val="xl110"/>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sz w:val="20"/>
    </w:rPr>
  </w:style>
  <w:style w:type="paragraph" w:customStyle="1" w:styleId="xl111">
    <w:name w:val="xl111"/>
    <w:basedOn w:val="Normal"/>
    <w:rsid w:val="003532F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rPr>
      <w:rFonts w:cs="Arial"/>
      <w:b/>
      <w:bCs/>
      <w:sz w:val="20"/>
    </w:rPr>
  </w:style>
  <w:style w:type="paragraph" w:customStyle="1" w:styleId="xl112">
    <w:name w:val="xl112"/>
    <w:basedOn w:val="Normal"/>
    <w:rsid w:val="003532F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rPr>
      <w:rFonts w:cs="Arial"/>
      <w:sz w:val="20"/>
    </w:rPr>
  </w:style>
  <w:style w:type="paragraph" w:customStyle="1" w:styleId="xl113">
    <w:name w:val="xl113"/>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b/>
      <w:bCs/>
      <w:sz w:val="20"/>
    </w:rPr>
  </w:style>
  <w:style w:type="paragraph" w:customStyle="1" w:styleId="xl114">
    <w:name w:val="xl114"/>
    <w:basedOn w:val="Normal"/>
    <w:rsid w:val="003532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b/>
      <w:bCs/>
      <w:sz w:val="20"/>
    </w:rPr>
  </w:style>
  <w:style w:type="paragraph" w:customStyle="1" w:styleId="xl115">
    <w:name w:val="xl115"/>
    <w:basedOn w:val="Normal"/>
    <w:rsid w:val="003532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sz w:val="20"/>
    </w:rPr>
  </w:style>
  <w:style w:type="paragraph" w:customStyle="1" w:styleId="xl116">
    <w:name w:val="xl116"/>
    <w:basedOn w:val="Normal"/>
    <w:rsid w:val="003532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sz w:val="20"/>
    </w:rPr>
  </w:style>
  <w:style w:type="paragraph" w:customStyle="1" w:styleId="xl117">
    <w:name w:val="xl117"/>
    <w:basedOn w:val="Normal"/>
    <w:rsid w:val="003532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cs="Arial"/>
      <w:b/>
      <w:bCs/>
      <w:sz w:val="20"/>
    </w:rPr>
  </w:style>
  <w:style w:type="paragraph" w:customStyle="1" w:styleId="xl118">
    <w:name w:val="xl118"/>
    <w:basedOn w:val="Normal"/>
    <w:rsid w:val="003532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cs="Arial"/>
      <w:sz w:val="20"/>
    </w:rPr>
  </w:style>
  <w:style w:type="paragraph" w:customStyle="1" w:styleId="xl119">
    <w:name w:val="xl119"/>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rPr>
  </w:style>
  <w:style w:type="paragraph" w:customStyle="1" w:styleId="xl120">
    <w:name w:val="xl120"/>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121">
    <w:name w:val="xl121"/>
    <w:basedOn w:val="Normal"/>
    <w:rsid w:val="003532FD"/>
    <w:pPr>
      <w:pBdr>
        <w:top w:val="single" w:sz="4" w:space="0" w:color="auto"/>
        <w:left w:val="single" w:sz="4" w:space="0" w:color="auto"/>
        <w:bottom w:val="single" w:sz="4" w:space="0" w:color="auto"/>
        <w:right w:val="single" w:sz="4" w:space="0" w:color="auto"/>
      </w:pBdr>
      <w:shd w:val="clear" w:color="000000" w:fill="99FF33"/>
      <w:spacing w:before="100" w:beforeAutospacing="1" w:after="100" w:afterAutospacing="1"/>
    </w:pPr>
    <w:rPr>
      <w:rFonts w:cs="Arial"/>
      <w:sz w:val="20"/>
    </w:rPr>
  </w:style>
  <w:style w:type="paragraph" w:customStyle="1" w:styleId="xl122">
    <w:name w:val="xl122"/>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cs="Arial"/>
      <w:sz w:val="20"/>
    </w:rPr>
  </w:style>
  <w:style w:type="paragraph" w:customStyle="1" w:styleId="xl123">
    <w:name w:val="xl123"/>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b/>
      <w:bCs/>
      <w:sz w:val="20"/>
    </w:rPr>
  </w:style>
  <w:style w:type="paragraph" w:customStyle="1" w:styleId="xl124">
    <w:name w:val="xl124"/>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b/>
      <w:bCs/>
      <w:sz w:val="20"/>
    </w:rPr>
  </w:style>
  <w:style w:type="paragraph" w:customStyle="1" w:styleId="xl125">
    <w:name w:val="xl125"/>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center"/>
    </w:pPr>
    <w:rPr>
      <w:rFonts w:cs="Arial"/>
      <w:sz w:val="20"/>
    </w:rPr>
  </w:style>
  <w:style w:type="paragraph" w:customStyle="1" w:styleId="xl126">
    <w:name w:val="xl126"/>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cs="Arial"/>
      <w:sz w:val="20"/>
    </w:rPr>
  </w:style>
  <w:style w:type="paragraph" w:customStyle="1" w:styleId="xl127">
    <w:name w:val="xl127"/>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sz w:val="20"/>
    </w:rPr>
  </w:style>
  <w:style w:type="paragraph" w:customStyle="1" w:styleId="xl128">
    <w:name w:val="xl128"/>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sz w:val="20"/>
    </w:rPr>
  </w:style>
  <w:style w:type="paragraph" w:customStyle="1" w:styleId="xl129">
    <w:name w:val="xl129"/>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cs="Arial"/>
      <w:sz w:val="20"/>
    </w:rPr>
  </w:style>
  <w:style w:type="paragraph" w:customStyle="1" w:styleId="xl130">
    <w:name w:val="xl130"/>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top"/>
    </w:pPr>
    <w:rPr>
      <w:rFonts w:cs="Arial"/>
      <w:sz w:val="20"/>
    </w:rPr>
  </w:style>
  <w:style w:type="paragraph" w:customStyle="1" w:styleId="xl131">
    <w:name w:val="xl131"/>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sz w:val="20"/>
    </w:rPr>
  </w:style>
  <w:style w:type="paragraph" w:customStyle="1" w:styleId="xl132">
    <w:name w:val="xl132"/>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rPr>
      <w:rFonts w:cs="Arial"/>
      <w:sz w:val="20"/>
    </w:rPr>
  </w:style>
  <w:style w:type="paragraph" w:customStyle="1" w:styleId="xl133">
    <w:name w:val="xl133"/>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cs="Arial"/>
      <w:b/>
      <w:bCs/>
      <w:sz w:val="20"/>
    </w:rPr>
  </w:style>
  <w:style w:type="paragraph" w:customStyle="1" w:styleId="xl134">
    <w:name w:val="xl134"/>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center"/>
    </w:pPr>
    <w:rPr>
      <w:rFonts w:cs="Arial"/>
      <w:b/>
      <w:bCs/>
      <w:sz w:val="20"/>
    </w:rPr>
  </w:style>
  <w:style w:type="table" w:styleId="TableGrid">
    <w:name w:val="Table Grid"/>
    <w:basedOn w:val="TableNormal"/>
    <w:uiPriority w:val="39"/>
    <w:rsid w:val="00B7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751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1">
    <w:name w:val="Grid Table 5 Dark Accent 1"/>
    <w:basedOn w:val="TableNormal"/>
    <w:uiPriority w:val="50"/>
    <w:rsid w:val="00B751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751CD"/>
    <w:rPr>
      <w:rFonts w:ascii="Arial" w:hAnsi="Arial"/>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band2Horz">
      <w:tblPr/>
      <w:tcPr>
        <w:shd w:val="clear" w:color="auto" w:fill="D9D9D9" w:themeFill="background1" w:themeFillShade="D9"/>
      </w:tcPr>
    </w:tblStylePr>
  </w:style>
  <w:style w:type="table" w:styleId="ListTable4-Accent1">
    <w:name w:val="List Table 4 Accent 1"/>
    <w:basedOn w:val="TableNormal"/>
    <w:uiPriority w:val="49"/>
    <w:rsid w:val="00B751C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
    <w:name w:val="Table Text"/>
    <w:basedOn w:val="Normal"/>
    <w:qFormat/>
    <w:rsid w:val="009F530B"/>
    <w:pPr>
      <w:spacing w:before="30" w:after="160" w:line="256" w:lineRule="auto"/>
    </w:pPr>
    <w:rPr>
      <w:rFonts w:eastAsiaTheme="minorHAnsi" w:cstheme="minorBidi"/>
      <w:sz w:val="20"/>
      <w:szCs w:val="22"/>
    </w:rPr>
  </w:style>
  <w:style w:type="paragraph" w:customStyle="1" w:styleId="LRWLBodyText">
    <w:name w:val="LRWL Body Text"/>
    <w:basedOn w:val="Normal"/>
    <w:link w:val="LRWLBodyTextChar"/>
    <w:qFormat/>
    <w:rsid w:val="00972B15"/>
    <w:pPr>
      <w:spacing w:before="120" w:after="120"/>
    </w:pPr>
    <w:rPr>
      <w:szCs w:val="22"/>
    </w:rPr>
  </w:style>
  <w:style w:type="character" w:customStyle="1" w:styleId="LRWLBodyTextChar">
    <w:name w:val="LRWL Body Text Char"/>
    <w:basedOn w:val="DefaultParagraphFont"/>
    <w:link w:val="LRWLBodyText"/>
    <w:rsid w:val="00972B15"/>
    <w:rPr>
      <w:rFonts w:ascii="Arial" w:hAnsi="Arial"/>
      <w:sz w:val="22"/>
      <w:szCs w:val="22"/>
    </w:rPr>
  </w:style>
  <w:style w:type="paragraph" w:styleId="BodyText">
    <w:name w:val="Body Text"/>
    <w:basedOn w:val="Normal"/>
    <w:link w:val="BodyTextChar"/>
    <w:uiPriority w:val="1"/>
    <w:qFormat/>
    <w:rsid w:val="00CF6ACC"/>
    <w:pPr>
      <w:widowControl w:val="0"/>
      <w:spacing w:before="119"/>
      <w:ind w:left="500"/>
    </w:pPr>
    <w:rPr>
      <w:rFonts w:eastAsia="Arial" w:cstheme="minorBidi"/>
      <w:szCs w:val="22"/>
    </w:rPr>
  </w:style>
  <w:style w:type="character" w:customStyle="1" w:styleId="BodyTextChar">
    <w:name w:val="Body Text Char"/>
    <w:basedOn w:val="DefaultParagraphFont"/>
    <w:link w:val="BodyText"/>
    <w:uiPriority w:val="1"/>
    <w:rsid w:val="00CF6ACC"/>
    <w:rPr>
      <w:rFonts w:ascii="Arial" w:eastAsia="Arial" w:hAnsi="Arial" w:cstheme="minorBidi"/>
      <w:sz w:val="22"/>
      <w:szCs w:val="22"/>
    </w:rPr>
  </w:style>
  <w:style w:type="paragraph" w:customStyle="1" w:styleId="TableParagraph">
    <w:name w:val="Table Paragraph"/>
    <w:basedOn w:val="Normal"/>
    <w:uiPriority w:val="1"/>
    <w:qFormat/>
    <w:rsid w:val="00CF6ACC"/>
    <w:pPr>
      <w:widowControl w:val="0"/>
    </w:pPr>
    <w:rPr>
      <w:rFonts w:asciiTheme="minorHAnsi" w:eastAsiaTheme="minorHAnsi" w:hAnsiTheme="minorHAnsi" w:cstheme="minorBidi"/>
      <w:szCs w:val="22"/>
    </w:rPr>
  </w:style>
  <w:style w:type="paragraph" w:customStyle="1" w:styleId="LRWLBodyTextBullet2">
    <w:name w:val="LRWL Body Text Bullet 2"/>
    <w:basedOn w:val="Normal"/>
    <w:link w:val="LRWLBodyTextBullet2Char"/>
    <w:qFormat/>
    <w:rsid w:val="004376AC"/>
    <w:pPr>
      <w:numPr>
        <w:numId w:val="2"/>
      </w:numPr>
      <w:spacing w:before="60" w:after="60"/>
      <w:ind w:left="1080"/>
      <w:jc w:val="both"/>
    </w:pPr>
    <w:rPr>
      <w:sz w:val="21"/>
      <w:szCs w:val="22"/>
    </w:rPr>
  </w:style>
  <w:style w:type="character" w:customStyle="1" w:styleId="LRWLBodyTextBullet2Char">
    <w:name w:val="LRWL Body Text Bullet 2 Char"/>
    <w:basedOn w:val="DefaultParagraphFont"/>
    <w:link w:val="LRWLBodyTextBullet2"/>
    <w:rsid w:val="004376AC"/>
    <w:rPr>
      <w:rFonts w:ascii="Arial" w:hAnsi="Arial"/>
      <w:sz w:val="21"/>
      <w:szCs w:val="22"/>
    </w:rPr>
  </w:style>
  <w:style w:type="paragraph" w:styleId="Caption">
    <w:name w:val="caption"/>
    <w:basedOn w:val="Normal"/>
    <w:next w:val="BodyText"/>
    <w:link w:val="CaptionChar"/>
    <w:qFormat/>
    <w:rsid w:val="002966BE"/>
    <w:pPr>
      <w:keepNext/>
      <w:spacing w:before="240" w:after="120"/>
      <w:ind w:left="90"/>
      <w:jc w:val="center"/>
    </w:pPr>
    <w:rPr>
      <w:rFonts w:ascii="Times New Roman" w:hAnsi="Times New Roman"/>
      <w:b/>
      <w:bCs/>
      <w:i/>
      <w:sz w:val="20"/>
    </w:rPr>
  </w:style>
  <w:style w:type="character" w:customStyle="1" w:styleId="CaptionChar">
    <w:name w:val="Caption Char"/>
    <w:basedOn w:val="DefaultParagraphFont"/>
    <w:link w:val="Caption"/>
    <w:rsid w:val="002966BE"/>
    <w:rPr>
      <w:b/>
      <w:bCs/>
      <w:i/>
    </w:rPr>
  </w:style>
  <w:style w:type="character" w:customStyle="1" w:styleId="TitleChar">
    <w:name w:val="Title Char"/>
    <w:basedOn w:val="DefaultParagraphFont"/>
    <w:link w:val="Title"/>
    <w:uiPriority w:val="10"/>
    <w:rsid w:val="00B9347F"/>
    <w:rPr>
      <w:sz w:val="36"/>
    </w:rPr>
  </w:style>
  <w:style w:type="character" w:customStyle="1" w:styleId="Heading1Char">
    <w:name w:val="Heading 1 Char"/>
    <w:basedOn w:val="DefaultParagraphFont"/>
    <w:link w:val="Heading1"/>
    <w:uiPriority w:val="9"/>
    <w:rsid w:val="00B9347F"/>
    <w:rPr>
      <w:b/>
      <w:i/>
      <w:sz w:val="24"/>
    </w:rPr>
  </w:style>
  <w:style w:type="character" w:styleId="Strong">
    <w:name w:val="Strong"/>
    <w:basedOn w:val="DefaultParagraphFont"/>
    <w:uiPriority w:val="22"/>
    <w:qFormat/>
    <w:rsid w:val="00B9347F"/>
    <w:rPr>
      <w:b/>
      <w:bCs/>
    </w:rPr>
  </w:style>
  <w:style w:type="paragraph" w:customStyle="1" w:styleId="ETFNormal">
    <w:name w:val="ETF Normal"/>
    <w:basedOn w:val="Normal"/>
    <w:link w:val="ETFNormalChar"/>
    <w:qFormat/>
    <w:rsid w:val="00B9347F"/>
    <w:pPr>
      <w:spacing w:before="120" w:after="120"/>
      <w:jc w:val="both"/>
    </w:pPr>
    <w:rPr>
      <w:rFonts w:cs="Arial"/>
    </w:rPr>
  </w:style>
  <w:style w:type="character" w:customStyle="1" w:styleId="ETFNormalChar">
    <w:name w:val="ETF Normal Char"/>
    <w:basedOn w:val="DefaultParagraphFont"/>
    <w:link w:val="ETFNormal"/>
    <w:rsid w:val="00B9347F"/>
    <w:rPr>
      <w:rFonts w:ascii="Arial" w:hAnsi="Arial" w:cs="Arial"/>
      <w:sz w:val="22"/>
    </w:rPr>
  </w:style>
  <w:style w:type="paragraph" w:customStyle="1" w:styleId="CcList">
    <w:name w:val="Cc List"/>
    <w:basedOn w:val="Normal"/>
    <w:rsid w:val="00576065"/>
    <w:pPr>
      <w:keepLines/>
      <w:spacing w:line="220" w:lineRule="atLeast"/>
      <w:ind w:left="360" w:hanging="360"/>
      <w:jc w:val="both"/>
    </w:pPr>
    <w:rPr>
      <w:spacing w:val="-5"/>
      <w:sz w:val="20"/>
    </w:rPr>
  </w:style>
  <w:style w:type="paragraph" w:customStyle="1" w:styleId="SignatureCompany">
    <w:name w:val="Signature Company"/>
    <w:basedOn w:val="Signature"/>
    <w:next w:val="Normal"/>
    <w:rsid w:val="00576065"/>
    <w:pPr>
      <w:keepNext/>
      <w:spacing w:line="220" w:lineRule="atLeast"/>
      <w:ind w:left="0"/>
    </w:pPr>
    <w:rPr>
      <w:spacing w:val="-5"/>
      <w:sz w:val="20"/>
    </w:rPr>
  </w:style>
  <w:style w:type="paragraph" w:styleId="Signature">
    <w:name w:val="Signature"/>
    <w:basedOn w:val="Normal"/>
    <w:link w:val="SignatureChar"/>
    <w:uiPriority w:val="99"/>
    <w:semiHidden/>
    <w:unhideWhenUsed/>
    <w:rsid w:val="00576065"/>
    <w:pPr>
      <w:ind w:left="4320"/>
    </w:pPr>
  </w:style>
  <w:style w:type="character" w:customStyle="1" w:styleId="SignatureChar">
    <w:name w:val="Signature Char"/>
    <w:basedOn w:val="DefaultParagraphFont"/>
    <w:link w:val="Signature"/>
    <w:uiPriority w:val="99"/>
    <w:semiHidden/>
    <w:rsid w:val="00576065"/>
    <w:rPr>
      <w:rFonts w:ascii="Arial" w:hAnsi="Arial"/>
      <w:sz w:val="22"/>
    </w:rPr>
  </w:style>
  <w:style w:type="character" w:customStyle="1" w:styleId="UnresolvedMention1">
    <w:name w:val="Unresolved Mention1"/>
    <w:basedOn w:val="DefaultParagraphFont"/>
    <w:uiPriority w:val="99"/>
    <w:semiHidden/>
    <w:unhideWhenUsed/>
    <w:rsid w:val="00551D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1785">
      <w:bodyDiv w:val="1"/>
      <w:marLeft w:val="0"/>
      <w:marRight w:val="0"/>
      <w:marTop w:val="0"/>
      <w:marBottom w:val="0"/>
      <w:divBdr>
        <w:top w:val="none" w:sz="0" w:space="0" w:color="auto"/>
        <w:left w:val="none" w:sz="0" w:space="0" w:color="auto"/>
        <w:bottom w:val="none" w:sz="0" w:space="0" w:color="auto"/>
        <w:right w:val="none" w:sz="0" w:space="0" w:color="auto"/>
      </w:divBdr>
    </w:div>
    <w:div w:id="114688057">
      <w:bodyDiv w:val="1"/>
      <w:marLeft w:val="0"/>
      <w:marRight w:val="0"/>
      <w:marTop w:val="0"/>
      <w:marBottom w:val="0"/>
      <w:divBdr>
        <w:top w:val="none" w:sz="0" w:space="0" w:color="auto"/>
        <w:left w:val="none" w:sz="0" w:space="0" w:color="auto"/>
        <w:bottom w:val="none" w:sz="0" w:space="0" w:color="auto"/>
        <w:right w:val="none" w:sz="0" w:space="0" w:color="auto"/>
      </w:divBdr>
    </w:div>
    <w:div w:id="128861614">
      <w:bodyDiv w:val="1"/>
      <w:marLeft w:val="0"/>
      <w:marRight w:val="0"/>
      <w:marTop w:val="0"/>
      <w:marBottom w:val="0"/>
      <w:divBdr>
        <w:top w:val="none" w:sz="0" w:space="0" w:color="auto"/>
        <w:left w:val="none" w:sz="0" w:space="0" w:color="auto"/>
        <w:bottom w:val="none" w:sz="0" w:space="0" w:color="auto"/>
        <w:right w:val="none" w:sz="0" w:space="0" w:color="auto"/>
      </w:divBdr>
    </w:div>
    <w:div w:id="156727971">
      <w:bodyDiv w:val="1"/>
      <w:marLeft w:val="0"/>
      <w:marRight w:val="0"/>
      <w:marTop w:val="0"/>
      <w:marBottom w:val="0"/>
      <w:divBdr>
        <w:top w:val="none" w:sz="0" w:space="0" w:color="auto"/>
        <w:left w:val="none" w:sz="0" w:space="0" w:color="auto"/>
        <w:bottom w:val="none" w:sz="0" w:space="0" w:color="auto"/>
        <w:right w:val="none" w:sz="0" w:space="0" w:color="auto"/>
      </w:divBdr>
    </w:div>
    <w:div w:id="182286784">
      <w:bodyDiv w:val="1"/>
      <w:marLeft w:val="0"/>
      <w:marRight w:val="0"/>
      <w:marTop w:val="0"/>
      <w:marBottom w:val="0"/>
      <w:divBdr>
        <w:top w:val="none" w:sz="0" w:space="0" w:color="auto"/>
        <w:left w:val="none" w:sz="0" w:space="0" w:color="auto"/>
        <w:bottom w:val="none" w:sz="0" w:space="0" w:color="auto"/>
        <w:right w:val="none" w:sz="0" w:space="0" w:color="auto"/>
      </w:divBdr>
    </w:div>
    <w:div w:id="243994000">
      <w:bodyDiv w:val="1"/>
      <w:marLeft w:val="0"/>
      <w:marRight w:val="0"/>
      <w:marTop w:val="0"/>
      <w:marBottom w:val="0"/>
      <w:divBdr>
        <w:top w:val="none" w:sz="0" w:space="0" w:color="auto"/>
        <w:left w:val="none" w:sz="0" w:space="0" w:color="auto"/>
        <w:bottom w:val="none" w:sz="0" w:space="0" w:color="auto"/>
        <w:right w:val="none" w:sz="0" w:space="0" w:color="auto"/>
      </w:divBdr>
    </w:div>
    <w:div w:id="260068407">
      <w:bodyDiv w:val="1"/>
      <w:marLeft w:val="0"/>
      <w:marRight w:val="0"/>
      <w:marTop w:val="0"/>
      <w:marBottom w:val="0"/>
      <w:divBdr>
        <w:top w:val="none" w:sz="0" w:space="0" w:color="auto"/>
        <w:left w:val="none" w:sz="0" w:space="0" w:color="auto"/>
        <w:bottom w:val="none" w:sz="0" w:space="0" w:color="auto"/>
        <w:right w:val="none" w:sz="0" w:space="0" w:color="auto"/>
      </w:divBdr>
    </w:div>
    <w:div w:id="332730336">
      <w:bodyDiv w:val="1"/>
      <w:marLeft w:val="0"/>
      <w:marRight w:val="0"/>
      <w:marTop w:val="0"/>
      <w:marBottom w:val="0"/>
      <w:divBdr>
        <w:top w:val="none" w:sz="0" w:space="0" w:color="auto"/>
        <w:left w:val="none" w:sz="0" w:space="0" w:color="auto"/>
        <w:bottom w:val="none" w:sz="0" w:space="0" w:color="auto"/>
        <w:right w:val="none" w:sz="0" w:space="0" w:color="auto"/>
      </w:divBdr>
    </w:div>
    <w:div w:id="394667592">
      <w:bodyDiv w:val="1"/>
      <w:marLeft w:val="0"/>
      <w:marRight w:val="0"/>
      <w:marTop w:val="0"/>
      <w:marBottom w:val="0"/>
      <w:divBdr>
        <w:top w:val="none" w:sz="0" w:space="0" w:color="auto"/>
        <w:left w:val="none" w:sz="0" w:space="0" w:color="auto"/>
        <w:bottom w:val="none" w:sz="0" w:space="0" w:color="auto"/>
        <w:right w:val="none" w:sz="0" w:space="0" w:color="auto"/>
      </w:divBdr>
    </w:div>
    <w:div w:id="541400182">
      <w:bodyDiv w:val="1"/>
      <w:marLeft w:val="0"/>
      <w:marRight w:val="0"/>
      <w:marTop w:val="0"/>
      <w:marBottom w:val="0"/>
      <w:divBdr>
        <w:top w:val="none" w:sz="0" w:space="0" w:color="auto"/>
        <w:left w:val="none" w:sz="0" w:space="0" w:color="auto"/>
        <w:bottom w:val="none" w:sz="0" w:space="0" w:color="auto"/>
        <w:right w:val="none" w:sz="0" w:space="0" w:color="auto"/>
      </w:divBdr>
    </w:div>
    <w:div w:id="554975831">
      <w:bodyDiv w:val="1"/>
      <w:marLeft w:val="0"/>
      <w:marRight w:val="0"/>
      <w:marTop w:val="0"/>
      <w:marBottom w:val="0"/>
      <w:divBdr>
        <w:top w:val="none" w:sz="0" w:space="0" w:color="auto"/>
        <w:left w:val="none" w:sz="0" w:space="0" w:color="auto"/>
        <w:bottom w:val="none" w:sz="0" w:space="0" w:color="auto"/>
        <w:right w:val="none" w:sz="0" w:space="0" w:color="auto"/>
      </w:divBdr>
    </w:div>
    <w:div w:id="699941416">
      <w:bodyDiv w:val="1"/>
      <w:marLeft w:val="0"/>
      <w:marRight w:val="0"/>
      <w:marTop w:val="0"/>
      <w:marBottom w:val="0"/>
      <w:divBdr>
        <w:top w:val="none" w:sz="0" w:space="0" w:color="auto"/>
        <w:left w:val="none" w:sz="0" w:space="0" w:color="auto"/>
        <w:bottom w:val="none" w:sz="0" w:space="0" w:color="auto"/>
        <w:right w:val="none" w:sz="0" w:space="0" w:color="auto"/>
      </w:divBdr>
    </w:div>
    <w:div w:id="773522039">
      <w:bodyDiv w:val="1"/>
      <w:marLeft w:val="0"/>
      <w:marRight w:val="0"/>
      <w:marTop w:val="0"/>
      <w:marBottom w:val="0"/>
      <w:divBdr>
        <w:top w:val="none" w:sz="0" w:space="0" w:color="auto"/>
        <w:left w:val="none" w:sz="0" w:space="0" w:color="auto"/>
        <w:bottom w:val="none" w:sz="0" w:space="0" w:color="auto"/>
        <w:right w:val="none" w:sz="0" w:space="0" w:color="auto"/>
      </w:divBdr>
    </w:div>
    <w:div w:id="787435151">
      <w:bodyDiv w:val="1"/>
      <w:marLeft w:val="0"/>
      <w:marRight w:val="0"/>
      <w:marTop w:val="0"/>
      <w:marBottom w:val="0"/>
      <w:divBdr>
        <w:top w:val="none" w:sz="0" w:space="0" w:color="auto"/>
        <w:left w:val="none" w:sz="0" w:space="0" w:color="auto"/>
        <w:bottom w:val="none" w:sz="0" w:space="0" w:color="auto"/>
        <w:right w:val="none" w:sz="0" w:space="0" w:color="auto"/>
      </w:divBdr>
    </w:div>
    <w:div w:id="887645728">
      <w:bodyDiv w:val="1"/>
      <w:marLeft w:val="0"/>
      <w:marRight w:val="0"/>
      <w:marTop w:val="0"/>
      <w:marBottom w:val="0"/>
      <w:divBdr>
        <w:top w:val="none" w:sz="0" w:space="0" w:color="auto"/>
        <w:left w:val="none" w:sz="0" w:space="0" w:color="auto"/>
        <w:bottom w:val="none" w:sz="0" w:space="0" w:color="auto"/>
        <w:right w:val="none" w:sz="0" w:space="0" w:color="auto"/>
      </w:divBdr>
    </w:div>
    <w:div w:id="917402067">
      <w:bodyDiv w:val="1"/>
      <w:marLeft w:val="0"/>
      <w:marRight w:val="0"/>
      <w:marTop w:val="0"/>
      <w:marBottom w:val="0"/>
      <w:divBdr>
        <w:top w:val="none" w:sz="0" w:space="0" w:color="auto"/>
        <w:left w:val="none" w:sz="0" w:space="0" w:color="auto"/>
        <w:bottom w:val="none" w:sz="0" w:space="0" w:color="auto"/>
        <w:right w:val="none" w:sz="0" w:space="0" w:color="auto"/>
      </w:divBdr>
    </w:div>
    <w:div w:id="958071293">
      <w:bodyDiv w:val="1"/>
      <w:marLeft w:val="0"/>
      <w:marRight w:val="0"/>
      <w:marTop w:val="0"/>
      <w:marBottom w:val="0"/>
      <w:divBdr>
        <w:top w:val="none" w:sz="0" w:space="0" w:color="auto"/>
        <w:left w:val="none" w:sz="0" w:space="0" w:color="auto"/>
        <w:bottom w:val="none" w:sz="0" w:space="0" w:color="auto"/>
        <w:right w:val="none" w:sz="0" w:space="0" w:color="auto"/>
      </w:divBdr>
    </w:div>
    <w:div w:id="992753356">
      <w:bodyDiv w:val="1"/>
      <w:marLeft w:val="0"/>
      <w:marRight w:val="0"/>
      <w:marTop w:val="0"/>
      <w:marBottom w:val="0"/>
      <w:divBdr>
        <w:top w:val="none" w:sz="0" w:space="0" w:color="auto"/>
        <w:left w:val="none" w:sz="0" w:space="0" w:color="auto"/>
        <w:bottom w:val="none" w:sz="0" w:space="0" w:color="auto"/>
        <w:right w:val="none" w:sz="0" w:space="0" w:color="auto"/>
      </w:divBdr>
    </w:div>
    <w:div w:id="1015880706">
      <w:bodyDiv w:val="1"/>
      <w:marLeft w:val="0"/>
      <w:marRight w:val="0"/>
      <w:marTop w:val="0"/>
      <w:marBottom w:val="0"/>
      <w:divBdr>
        <w:top w:val="none" w:sz="0" w:space="0" w:color="auto"/>
        <w:left w:val="none" w:sz="0" w:space="0" w:color="auto"/>
        <w:bottom w:val="none" w:sz="0" w:space="0" w:color="auto"/>
        <w:right w:val="none" w:sz="0" w:space="0" w:color="auto"/>
      </w:divBdr>
    </w:div>
    <w:div w:id="1024481046">
      <w:bodyDiv w:val="1"/>
      <w:marLeft w:val="0"/>
      <w:marRight w:val="0"/>
      <w:marTop w:val="0"/>
      <w:marBottom w:val="0"/>
      <w:divBdr>
        <w:top w:val="none" w:sz="0" w:space="0" w:color="auto"/>
        <w:left w:val="none" w:sz="0" w:space="0" w:color="auto"/>
        <w:bottom w:val="none" w:sz="0" w:space="0" w:color="auto"/>
        <w:right w:val="none" w:sz="0" w:space="0" w:color="auto"/>
      </w:divBdr>
    </w:div>
    <w:div w:id="1166284731">
      <w:bodyDiv w:val="1"/>
      <w:marLeft w:val="0"/>
      <w:marRight w:val="0"/>
      <w:marTop w:val="0"/>
      <w:marBottom w:val="0"/>
      <w:divBdr>
        <w:top w:val="none" w:sz="0" w:space="0" w:color="auto"/>
        <w:left w:val="none" w:sz="0" w:space="0" w:color="auto"/>
        <w:bottom w:val="none" w:sz="0" w:space="0" w:color="auto"/>
        <w:right w:val="none" w:sz="0" w:space="0" w:color="auto"/>
      </w:divBdr>
    </w:div>
    <w:div w:id="1250770493">
      <w:bodyDiv w:val="1"/>
      <w:marLeft w:val="0"/>
      <w:marRight w:val="0"/>
      <w:marTop w:val="0"/>
      <w:marBottom w:val="0"/>
      <w:divBdr>
        <w:top w:val="none" w:sz="0" w:space="0" w:color="auto"/>
        <w:left w:val="none" w:sz="0" w:space="0" w:color="auto"/>
        <w:bottom w:val="none" w:sz="0" w:space="0" w:color="auto"/>
        <w:right w:val="none" w:sz="0" w:space="0" w:color="auto"/>
      </w:divBdr>
    </w:div>
    <w:div w:id="1255014720">
      <w:bodyDiv w:val="1"/>
      <w:marLeft w:val="0"/>
      <w:marRight w:val="0"/>
      <w:marTop w:val="0"/>
      <w:marBottom w:val="0"/>
      <w:divBdr>
        <w:top w:val="none" w:sz="0" w:space="0" w:color="auto"/>
        <w:left w:val="none" w:sz="0" w:space="0" w:color="auto"/>
        <w:bottom w:val="none" w:sz="0" w:space="0" w:color="auto"/>
        <w:right w:val="none" w:sz="0" w:space="0" w:color="auto"/>
      </w:divBdr>
    </w:div>
    <w:div w:id="1340353014">
      <w:bodyDiv w:val="1"/>
      <w:marLeft w:val="0"/>
      <w:marRight w:val="0"/>
      <w:marTop w:val="0"/>
      <w:marBottom w:val="0"/>
      <w:divBdr>
        <w:top w:val="none" w:sz="0" w:space="0" w:color="auto"/>
        <w:left w:val="none" w:sz="0" w:space="0" w:color="auto"/>
        <w:bottom w:val="none" w:sz="0" w:space="0" w:color="auto"/>
        <w:right w:val="none" w:sz="0" w:space="0" w:color="auto"/>
      </w:divBdr>
    </w:div>
    <w:div w:id="1410537202">
      <w:bodyDiv w:val="1"/>
      <w:marLeft w:val="0"/>
      <w:marRight w:val="0"/>
      <w:marTop w:val="0"/>
      <w:marBottom w:val="0"/>
      <w:divBdr>
        <w:top w:val="none" w:sz="0" w:space="0" w:color="auto"/>
        <w:left w:val="none" w:sz="0" w:space="0" w:color="auto"/>
        <w:bottom w:val="none" w:sz="0" w:space="0" w:color="auto"/>
        <w:right w:val="none" w:sz="0" w:space="0" w:color="auto"/>
      </w:divBdr>
    </w:div>
    <w:div w:id="1444685389">
      <w:bodyDiv w:val="1"/>
      <w:marLeft w:val="0"/>
      <w:marRight w:val="0"/>
      <w:marTop w:val="0"/>
      <w:marBottom w:val="0"/>
      <w:divBdr>
        <w:top w:val="none" w:sz="0" w:space="0" w:color="auto"/>
        <w:left w:val="none" w:sz="0" w:space="0" w:color="auto"/>
        <w:bottom w:val="none" w:sz="0" w:space="0" w:color="auto"/>
        <w:right w:val="none" w:sz="0" w:space="0" w:color="auto"/>
      </w:divBdr>
    </w:div>
    <w:div w:id="1617329868">
      <w:bodyDiv w:val="1"/>
      <w:marLeft w:val="0"/>
      <w:marRight w:val="0"/>
      <w:marTop w:val="0"/>
      <w:marBottom w:val="0"/>
      <w:divBdr>
        <w:top w:val="none" w:sz="0" w:space="0" w:color="auto"/>
        <w:left w:val="none" w:sz="0" w:space="0" w:color="auto"/>
        <w:bottom w:val="none" w:sz="0" w:space="0" w:color="auto"/>
        <w:right w:val="none" w:sz="0" w:space="0" w:color="auto"/>
      </w:divBdr>
    </w:div>
    <w:div w:id="1618022806">
      <w:bodyDiv w:val="1"/>
      <w:marLeft w:val="0"/>
      <w:marRight w:val="0"/>
      <w:marTop w:val="0"/>
      <w:marBottom w:val="0"/>
      <w:divBdr>
        <w:top w:val="none" w:sz="0" w:space="0" w:color="auto"/>
        <w:left w:val="none" w:sz="0" w:space="0" w:color="auto"/>
        <w:bottom w:val="none" w:sz="0" w:space="0" w:color="auto"/>
        <w:right w:val="none" w:sz="0" w:space="0" w:color="auto"/>
      </w:divBdr>
    </w:div>
    <w:div w:id="1670448021">
      <w:bodyDiv w:val="1"/>
      <w:marLeft w:val="0"/>
      <w:marRight w:val="0"/>
      <w:marTop w:val="0"/>
      <w:marBottom w:val="0"/>
      <w:divBdr>
        <w:top w:val="none" w:sz="0" w:space="0" w:color="auto"/>
        <w:left w:val="none" w:sz="0" w:space="0" w:color="auto"/>
        <w:bottom w:val="none" w:sz="0" w:space="0" w:color="auto"/>
        <w:right w:val="none" w:sz="0" w:space="0" w:color="auto"/>
      </w:divBdr>
    </w:div>
    <w:div w:id="1722362485">
      <w:bodyDiv w:val="1"/>
      <w:marLeft w:val="0"/>
      <w:marRight w:val="0"/>
      <w:marTop w:val="0"/>
      <w:marBottom w:val="0"/>
      <w:divBdr>
        <w:top w:val="none" w:sz="0" w:space="0" w:color="auto"/>
        <w:left w:val="none" w:sz="0" w:space="0" w:color="auto"/>
        <w:bottom w:val="none" w:sz="0" w:space="0" w:color="auto"/>
        <w:right w:val="none" w:sz="0" w:space="0" w:color="auto"/>
      </w:divBdr>
    </w:div>
    <w:div w:id="1891070534">
      <w:bodyDiv w:val="1"/>
      <w:marLeft w:val="0"/>
      <w:marRight w:val="0"/>
      <w:marTop w:val="0"/>
      <w:marBottom w:val="0"/>
      <w:divBdr>
        <w:top w:val="none" w:sz="0" w:space="0" w:color="auto"/>
        <w:left w:val="none" w:sz="0" w:space="0" w:color="auto"/>
        <w:bottom w:val="none" w:sz="0" w:space="0" w:color="auto"/>
        <w:right w:val="none" w:sz="0" w:space="0" w:color="auto"/>
      </w:divBdr>
    </w:div>
    <w:div w:id="1993676982">
      <w:bodyDiv w:val="1"/>
      <w:marLeft w:val="0"/>
      <w:marRight w:val="0"/>
      <w:marTop w:val="0"/>
      <w:marBottom w:val="0"/>
      <w:divBdr>
        <w:top w:val="none" w:sz="0" w:space="0" w:color="auto"/>
        <w:left w:val="none" w:sz="0" w:space="0" w:color="auto"/>
        <w:bottom w:val="none" w:sz="0" w:space="0" w:color="auto"/>
        <w:right w:val="none" w:sz="0" w:space="0" w:color="auto"/>
      </w:divBdr>
    </w:div>
    <w:div w:id="2081977296">
      <w:bodyDiv w:val="1"/>
      <w:marLeft w:val="0"/>
      <w:marRight w:val="0"/>
      <w:marTop w:val="0"/>
      <w:marBottom w:val="0"/>
      <w:divBdr>
        <w:top w:val="none" w:sz="0" w:space="0" w:color="auto"/>
        <w:left w:val="none" w:sz="0" w:space="0" w:color="auto"/>
        <w:bottom w:val="none" w:sz="0" w:space="0" w:color="auto"/>
        <w:right w:val="none" w:sz="0" w:space="0" w:color="auto"/>
      </w:divBdr>
    </w:div>
    <w:div w:id="2095465799">
      <w:bodyDiv w:val="1"/>
      <w:marLeft w:val="0"/>
      <w:marRight w:val="0"/>
      <w:marTop w:val="0"/>
      <w:marBottom w:val="0"/>
      <w:divBdr>
        <w:top w:val="none" w:sz="0" w:space="0" w:color="auto"/>
        <w:left w:val="none" w:sz="0" w:space="0" w:color="auto"/>
        <w:bottom w:val="none" w:sz="0" w:space="0" w:color="auto"/>
        <w:right w:val="none" w:sz="0" w:space="0" w:color="auto"/>
      </w:divBdr>
    </w:div>
    <w:div w:id="213728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TFSMBProcurement@etf.wi.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tf.wi.gov/node/15551"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tfextranet.it.state.wi.us/etf/internet/RFP/rf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D9BCE32C3DE746ABEBD94C86C60E6B" ma:contentTypeVersion="1" ma:contentTypeDescription="Create a new document." ma:contentTypeScope="" ma:versionID="b47c1c71f6d956feccd1ba4b2dbf068e">
  <xsd:schema xmlns:xsd="http://www.w3.org/2001/XMLSchema" xmlns:xs="http://www.w3.org/2001/XMLSchema" xmlns:p="http://schemas.microsoft.com/office/2006/metadata/properties" xmlns:ns2="960c24f1-2fba-47cf-b31e-05a06f969bef" xmlns:ns3="5247b1ec-b84c-455c-a13c-ca262f20c2b4" targetNamespace="http://schemas.microsoft.com/office/2006/metadata/properties" ma:root="true" ma:fieldsID="c31266b158ce762a96685d670eccbb92" ns2:_="" ns3:_="">
    <xsd:import namespace="960c24f1-2fba-47cf-b31e-05a06f969bef"/>
    <xsd:import namespace="5247b1ec-b84c-455c-a13c-ca262f20c2b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47b1ec-b84c-455c-a13c-ca262f20c2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60c24f1-2fba-47cf-b31e-05a06f969bef">ETFPROJECTS-527899875-137</_dlc_DocId>
    <_dlc_DocIdUrl xmlns="960c24f1-2fba-47cf-b31e-05a06f969bef">
      <Url>https://share.etf.wisconsin.gov/sites/etf/oei/pmo/_layouts/15/DocIdRedir.aspx?ID=ETFPROJECTS-527899875-137</Url>
      <Description>ETFPROJECTS-527899875-137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C6782-513E-4DC5-BAA5-172348717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5247b1ec-b84c-455c-a13c-ca262f20c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ABD98-C768-40EC-BA4B-238420FC3BCE}">
  <ds:schemaRefs>
    <ds:schemaRef ds:uri="960c24f1-2fba-47cf-b31e-05a06f969bef"/>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247b1ec-b84c-455c-a13c-ca262f20c2b4"/>
    <ds:schemaRef ds:uri="http://www.w3.org/XML/1998/namespace"/>
    <ds:schemaRef ds:uri="http://purl.org/dc/dcmitype/"/>
  </ds:schemaRefs>
</ds:datastoreItem>
</file>

<file path=customXml/itemProps3.xml><?xml version="1.0" encoding="utf-8"?>
<ds:datastoreItem xmlns:ds="http://schemas.openxmlformats.org/officeDocument/2006/customXml" ds:itemID="{CEC348EC-37B9-4738-8173-FF54C872420D}">
  <ds:schemaRefs>
    <ds:schemaRef ds:uri="http://schemas.microsoft.com/sharepoint/v3/contenttype/forms"/>
  </ds:schemaRefs>
</ds:datastoreItem>
</file>

<file path=customXml/itemProps4.xml><?xml version="1.0" encoding="utf-8"?>
<ds:datastoreItem xmlns:ds="http://schemas.openxmlformats.org/officeDocument/2006/customXml" ds:itemID="{16816429-FAC7-4983-BEBD-370F6770C6C2}">
  <ds:schemaRefs>
    <ds:schemaRef ds:uri="http://schemas.microsoft.com/sharepoint/events"/>
  </ds:schemaRefs>
</ds:datastoreItem>
</file>

<file path=customXml/itemProps5.xml><?xml version="1.0" encoding="utf-8"?>
<ds:datastoreItem xmlns:ds="http://schemas.openxmlformats.org/officeDocument/2006/customXml" ds:itemID="{DDE76B12-9895-459C-A1F7-A724DF47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2648</Words>
  <Characters>14834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ETF</Company>
  <LinksUpToDate>false</LinksUpToDate>
  <CharactersWithSpaces>17448</CharactersWithSpaces>
  <SharedDoc>false</SharedDoc>
  <HLinks>
    <vt:vector size="6" baseType="variant">
      <vt:variant>
        <vt:i4>3866624</vt:i4>
      </vt:variant>
      <vt:variant>
        <vt:i4>-1</vt:i4>
      </vt:variant>
      <vt:variant>
        <vt:i4>1026</vt:i4>
      </vt:variant>
      <vt:variant>
        <vt:i4>1</vt:i4>
      </vt:variant>
      <vt:variant>
        <vt:lpwstr>\\Etf_dept\vol1\USERS\ADM_DIV\BERGEME\INTERNET\LOGOS\ETF\BLACK_WHITE\JPG\ETF_logo_large.jpg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beth.bucaida@etf.wi.gov</dc:creator>
  <cp:keywords/>
  <cp:lastModifiedBy>Klaas, Joanne L - ETF</cp:lastModifiedBy>
  <cp:revision>8</cp:revision>
  <cp:lastPrinted>2017-11-07T16:20:00Z</cp:lastPrinted>
  <dcterms:created xsi:type="dcterms:W3CDTF">2020-04-20T13:53:00Z</dcterms:created>
  <dcterms:modified xsi:type="dcterms:W3CDTF">2020-04-22T18:01:00Z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01F8-5572-D9A6-0B47</vt:lpwstr>
  </property>
  <property fmtid="{D5CDD505-2E9C-101B-9397-08002B2CF9AE}" pid="3" name="ContentTypeId">
    <vt:lpwstr>0x01010056D9BCE32C3DE746ABEBD94C86C60E6B</vt:lpwstr>
  </property>
  <property fmtid="{D5CDD505-2E9C-101B-9397-08002B2CF9AE}" pid="4" name="_dlc_DocIdItemGuid">
    <vt:lpwstr>776a2846-f998-4069-a431-9c5e02488f93</vt:lpwstr>
  </property>
</Properties>
</file>