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60" w:type="dxa"/>
        <w:tblInd w:w="-1062" w:type="dxa"/>
        <w:tblLayout w:type="fixed"/>
        <w:tblLook w:val="0000" w:firstRow="0" w:lastRow="0" w:firstColumn="0" w:lastColumn="0" w:noHBand="0" w:noVBand="0"/>
      </w:tblPr>
      <w:tblGrid>
        <w:gridCol w:w="2970"/>
        <w:gridCol w:w="5652"/>
        <w:gridCol w:w="2538"/>
      </w:tblGrid>
      <w:tr w:rsidR="007828B8" w:rsidRPr="007828B8" w14:paraId="31A576F6" w14:textId="77777777" w:rsidTr="007D2090">
        <w:trPr>
          <w:trHeight w:val="1793"/>
        </w:trPr>
        <w:tc>
          <w:tcPr>
            <w:tcW w:w="2970" w:type="dxa"/>
          </w:tcPr>
          <w:p w14:paraId="7F7486AF" w14:textId="77777777" w:rsidR="007828B8" w:rsidRPr="007828B8" w:rsidRDefault="007828B8" w:rsidP="007828B8">
            <w:pPr>
              <w:spacing w:line="240" w:lineRule="auto"/>
              <w:rPr>
                <w:rFonts w:eastAsia="Times New Roman" w:cs="Times New Roman"/>
                <w:sz w:val="24"/>
                <w:szCs w:val="24"/>
                <w:lang w:val="en-US"/>
              </w:rPr>
            </w:pPr>
            <w:r w:rsidRPr="007828B8">
              <w:rPr>
                <w:rFonts w:eastAsia="Times New Roman" w:cs="Times New Roman"/>
                <w:noProof/>
                <w:sz w:val="24"/>
                <w:szCs w:val="24"/>
                <w:lang w:val="en-US"/>
              </w:rPr>
              <w:drawing>
                <wp:inline distT="0" distB="0" distL="0" distR="0" wp14:anchorId="751A04EA" wp14:editId="023B690B">
                  <wp:extent cx="1828800" cy="1122680"/>
                  <wp:effectExtent l="0" t="0" r="0" b="0"/>
                  <wp:docPr id="2" name="Picture 2" descr="ETF_logo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F_logo_lar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0" cy="1122680"/>
                          </a:xfrm>
                          <a:prstGeom prst="rect">
                            <a:avLst/>
                          </a:prstGeom>
                          <a:noFill/>
                          <a:ln w="9525">
                            <a:noFill/>
                            <a:miter lim="800000"/>
                            <a:headEnd/>
                            <a:tailEnd/>
                          </a:ln>
                        </pic:spPr>
                      </pic:pic>
                    </a:graphicData>
                  </a:graphic>
                </wp:inline>
              </w:drawing>
            </w:r>
          </w:p>
        </w:tc>
        <w:tc>
          <w:tcPr>
            <w:tcW w:w="5652" w:type="dxa"/>
          </w:tcPr>
          <w:p w14:paraId="345FD6FE" w14:textId="77777777" w:rsidR="007828B8" w:rsidRPr="007828B8" w:rsidRDefault="007828B8" w:rsidP="007828B8">
            <w:pPr>
              <w:spacing w:line="240" w:lineRule="auto"/>
              <w:jc w:val="center"/>
              <w:rPr>
                <w:rFonts w:eastAsia="Times New Roman" w:cs="Times New Roman"/>
                <w:b/>
                <w:sz w:val="24"/>
                <w:szCs w:val="24"/>
                <w:lang w:val="en-US"/>
              </w:rPr>
            </w:pPr>
          </w:p>
          <w:p w14:paraId="5BC7AC02" w14:textId="77777777" w:rsidR="007828B8" w:rsidRPr="007828B8" w:rsidRDefault="007828B8" w:rsidP="007828B8">
            <w:pPr>
              <w:spacing w:line="240" w:lineRule="auto"/>
              <w:ind w:right="-108"/>
              <w:rPr>
                <w:rFonts w:eastAsia="Times New Roman" w:cs="Times New Roman"/>
                <w:i/>
                <w:sz w:val="24"/>
                <w:szCs w:val="24"/>
                <w:lang w:val="en-US"/>
              </w:rPr>
            </w:pPr>
            <w:r w:rsidRPr="007828B8">
              <w:rPr>
                <w:rFonts w:eastAsia="Times New Roman" w:cs="Times New Roman"/>
                <w:noProof/>
                <w:sz w:val="24"/>
                <w:szCs w:val="24"/>
                <w:lang w:val="en-US"/>
              </w:rPr>
              <mc:AlternateContent>
                <mc:Choice Requires="wps">
                  <w:drawing>
                    <wp:inline distT="0" distB="0" distL="0" distR="0" wp14:anchorId="3C396AFE" wp14:editId="01CA5B43">
                      <wp:extent cx="3383280" cy="822960"/>
                      <wp:effectExtent l="1905" t="3175" r="0" b="2540"/>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822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5FE3E1" w14:textId="77777777" w:rsidR="00A63002" w:rsidRPr="00A63002" w:rsidRDefault="00A63002" w:rsidP="00A63002">
                                  <w:pPr>
                                    <w:keepNext/>
                                    <w:spacing w:line="240" w:lineRule="auto"/>
                                    <w:jc w:val="center"/>
                                    <w:outlineLvl w:val="1"/>
                                    <w:rPr>
                                      <w:rFonts w:ascii="Century Gothic" w:eastAsia="Times New Roman" w:hAnsi="Century Gothic" w:cs="Times New Roman"/>
                                      <w:b/>
                                      <w:sz w:val="28"/>
                                      <w:szCs w:val="20"/>
                                      <w:lang w:val="en-US"/>
                                    </w:rPr>
                                  </w:pPr>
                                  <w:r w:rsidRPr="00A63002">
                                    <w:rPr>
                                      <w:rFonts w:ascii="Century Gothic" w:eastAsia="Times New Roman" w:hAnsi="Century Gothic" w:cs="Times New Roman"/>
                                      <w:b/>
                                      <w:sz w:val="28"/>
                                      <w:szCs w:val="20"/>
                                      <w:lang w:val="en-US"/>
                                    </w:rPr>
                                    <w:t>STATE OF WISCONSIN</w:t>
                                  </w:r>
                                </w:p>
                                <w:p w14:paraId="4BB629B2" w14:textId="77777777" w:rsidR="00A63002" w:rsidRPr="00A63002" w:rsidRDefault="00A63002" w:rsidP="00A63002">
                                  <w:pPr>
                                    <w:spacing w:line="240" w:lineRule="auto"/>
                                    <w:jc w:val="center"/>
                                    <w:rPr>
                                      <w:rFonts w:ascii="Century Gothic" w:eastAsia="Times New Roman" w:hAnsi="Century Gothic" w:cs="Times New Roman"/>
                                      <w:b/>
                                      <w:sz w:val="28"/>
                                      <w:szCs w:val="20"/>
                                      <w:lang w:val="en-US"/>
                                    </w:rPr>
                                  </w:pPr>
                                  <w:r w:rsidRPr="00A63002">
                                    <w:rPr>
                                      <w:rFonts w:ascii="Century Gothic" w:eastAsia="Times New Roman" w:hAnsi="Century Gothic" w:cs="Times New Roman"/>
                                      <w:b/>
                                      <w:sz w:val="28"/>
                                      <w:szCs w:val="20"/>
                                      <w:lang w:val="en-US"/>
                                    </w:rPr>
                                    <w:t>Department of Employee Trust Funds</w:t>
                                  </w:r>
                                </w:p>
                                <w:p w14:paraId="0348187A" w14:textId="67DB035F" w:rsidR="007828B8" w:rsidRPr="004A7A4A" w:rsidRDefault="00A63002" w:rsidP="007828B8">
                                  <w:pPr>
                                    <w:jc w:val="center"/>
                                    <w:rPr>
                                      <w:rFonts w:ascii="Century Gothic" w:hAnsi="Century Gothic"/>
                                      <w:b/>
                                      <w:sz w:val="18"/>
                                      <w:szCs w:val="18"/>
                                    </w:rPr>
                                  </w:pPr>
                                  <w:r>
                                    <w:rPr>
                                      <w:rFonts w:ascii="Century Gothic" w:hAnsi="Century Gothic"/>
                                      <w:b/>
                                      <w:sz w:val="18"/>
                                      <w:szCs w:val="18"/>
                                    </w:rPr>
                                    <w:t xml:space="preserve">A. </w:t>
                                  </w:r>
                                  <w:r w:rsidR="007828B8" w:rsidRPr="004A7A4A">
                                    <w:rPr>
                                      <w:rFonts w:ascii="Century Gothic" w:hAnsi="Century Gothic"/>
                                      <w:b/>
                                      <w:sz w:val="18"/>
                                      <w:szCs w:val="18"/>
                                    </w:rPr>
                                    <w:t>J</w:t>
                                  </w:r>
                                  <w:r>
                                    <w:rPr>
                                      <w:rFonts w:ascii="Century Gothic" w:hAnsi="Century Gothic"/>
                                      <w:b/>
                                      <w:sz w:val="18"/>
                                      <w:szCs w:val="18"/>
                                    </w:rPr>
                                    <w:t>ohn</w:t>
                                  </w:r>
                                  <w:r w:rsidR="007828B8" w:rsidRPr="004A7A4A">
                                    <w:rPr>
                                      <w:rFonts w:ascii="Century Gothic" w:hAnsi="Century Gothic"/>
                                      <w:b/>
                                      <w:sz w:val="18"/>
                                      <w:szCs w:val="18"/>
                                    </w:rPr>
                                    <w:t xml:space="preserve"> </w:t>
                                  </w:r>
                                  <w:r>
                                    <w:rPr>
                                      <w:rFonts w:ascii="Century Gothic" w:hAnsi="Century Gothic"/>
                                      <w:b/>
                                      <w:sz w:val="18"/>
                                      <w:szCs w:val="18"/>
                                    </w:rPr>
                                    <w:t>Voelker</w:t>
                                  </w:r>
                                </w:p>
                                <w:p w14:paraId="7FDF9FF0" w14:textId="77777777" w:rsidR="007828B8" w:rsidRDefault="007828B8" w:rsidP="007828B8">
                                  <w:pPr>
                                    <w:jc w:val="center"/>
                                    <w:rPr>
                                      <w:rFonts w:ascii="Century Gothic" w:hAnsi="Century Gothic"/>
                                      <w:sz w:val="16"/>
                                    </w:rPr>
                                  </w:pPr>
                                  <w:r>
                                    <w:rPr>
                                      <w:rFonts w:ascii="Century Gothic" w:hAnsi="Century Gothic"/>
                                      <w:sz w:val="16"/>
                                    </w:rPr>
                                    <w:t>SECRETARY</w:t>
                                  </w:r>
                                </w:p>
                                <w:p w14:paraId="4107AD0E" w14:textId="77777777" w:rsidR="007828B8" w:rsidRDefault="007828B8" w:rsidP="007828B8">
                                  <w:pPr>
                                    <w:jc w:val="center"/>
                                    <w:rPr>
                                      <w:rFonts w:ascii="Century Gothic" w:hAnsi="Century Gothic"/>
                                      <w:b/>
                                      <w:sz w:val="28"/>
                                    </w:rPr>
                                  </w:pPr>
                                </w:p>
                              </w:txbxContent>
                            </wps:txbx>
                            <wps:bodyPr rot="0" vert="horz" wrap="square" lIns="91440" tIns="45720" rIns="91440" bIns="45720" anchor="t" anchorCtr="0" upright="1">
                              <a:noAutofit/>
                            </wps:bodyPr>
                          </wps:wsp>
                        </a:graphicData>
                      </a:graphic>
                    </wp:inline>
                  </w:drawing>
                </mc:Choice>
                <mc:Fallback>
                  <w:pict>
                    <v:shapetype w14:anchorId="3C396AFE" id="_x0000_t202" coordsize="21600,21600" o:spt="202" path="m,l,21600r21600,l21600,xe">
                      <v:stroke joinstyle="miter"/>
                      <v:path gradientshapeok="t" o:connecttype="rect"/>
                    </v:shapetype>
                    <v:shape id="Text Box 7" o:spid="_x0000_s1026" type="#_x0000_t202" style="width:266.4pt;height:6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he8wEAAMoDAAAOAAAAZHJzL2Uyb0RvYy54bWysU1Fv0zAQfkfiP1h+p2nTMrqo6TQ6FSGN&#10;gTT4AY7jJBaOz5zdJuPXc3a6rhpviDxYPp/93X3ffdncjL1hR4Vegy35YjbnTFkJtbZtyX98379b&#10;c+aDsLUwYFXJn5TnN9u3bzaDK1QOHZhaISMQ64vBlbwLwRVZ5mWneuFn4JSlZAPYi0AhtlmNYiD0&#10;3mT5fH6VDYC1Q5DKezq9m5J8m/CbRsnwtWm8CsyUnHoLacW0VnHNthtRtChcp+WpDfEPXfRCWyp6&#10;hroTQbAD6r+gei0RPDRhJqHPoGm0VIkDsVnMX7F57IRTiQuJ491ZJv//YOXD8dF9QxbGjzDSABMJ&#10;7+5B/vTMwq4TtlW3iDB0StRUeBElywbni9PTKLUvfASphi9Q05DFIUACGhvsoyrEkxE6DeDpLLoa&#10;A5N0uFyul/maUpJy6zy/vkpTyUTx/NqhD58U9CxuSo401IQujvc+xG5E8XwlFvNgdL3XxqQA22pn&#10;kB0FGWCfvkTg1TVj42UL8dmEGE8Szchs4hjGaqRkpFtB/USEESZD0Q9Amw7wN2cDmank/tdBoOLM&#10;fLYk2vVitYruS8Hq/YecArzMVJcZYSVBlTxwNm13YXLswaFuO6o0jcnCLQnd6KTBS1envskwSZqT&#10;uaMjL+N06+UX3P4BAAD//wMAUEsDBBQABgAIAAAAIQB5Kc0q2gAAAAUBAAAPAAAAZHJzL2Rvd25y&#10;ZXYueG1sTI/BTsMwEETvSPyDtUhcEHUINKUhTgVIIK4t/YBNvE0i4nUUu0369yxc4LLSaEazb4rN&#10;7Hp1ojF0ng3cLRJQxLW3HTcG9p9vt4+gQkS22HsmA2cKsCkvLwrMrZ94S6ddbJSUcMjRQBvjkGsd&#10;6pYchoUfiMU7+NFhFDk22o44SbnrdZokmXbYsXxocaDXluqv3dEZOHxMN8v1VL3H/Wr7kL1gt6r8&#10;2Zjrq/n5CVSkOf6F4Qdf0KEUpsof2QbVG5Ah8feKt7xPZUYloXSdgS4L/Z++/AYAAP//AwBQSwEC&#10;LQAUAAYACAAAACEAtoM4kv4AAADhAQAAEwAAAAAAAAAAAAAAAAAAAAAAW0NvbnRlbnRfVHlwZXNd&#10;LnhtbFBLAQItABQABgAIAAAAIQA4/SH/1gAAAJQBAAALAAAAAAAAAAAAAAAAAC8BAABfcmVscy8u&#10;cmVsc1BLAQItABQABgAIAAAAIQA+QGhe8wEAAMoDAAAOAAAAAAAAAAAAAAAAAC4CAABkcnMvZTJv&#10;RG9jLnhtbFBLAQItABQABgAIAAAAIQB5Kc0q2gAAAAUBAAAPAAAAAAAAAAAAAAAAAE0EAABkcnMv&#10;ZG93bnJldi54bWxQSwUGAAAAAAQABADzAAAAVAUAAAAA&#10;" stroked="f">
                      <v:textbox>
                        <w:txbxContent>
                          <w:p w14:paraId="7A5FE3E1" w14:textId="77777777" w:rsidR="00A63002" w:rsidRPr="00A63002" w:rsidRDefault="00A63002" w:rsidP="00A63002">
                            <w:pPr>
                              <w:keepNext/>
                              <w:spacing w:line="240" w:lineRule="auto"/>
                              <w:jc w:val="center"/>
                              <w:outlineLvl w:val="1"/>
                              <w:rPr>
                                <w:rFonts w:ascii="Century Gothic" w:eastAsia="Times New Roman" w:hAnsi="Century Gothic" w:cs="Times New Roman"/>
                                <w:b/>
                                <w:sz w:val="28"/>
                                <w:szCs w:val="20"/>
                                <w:lang w:val="en-US"/>
                              </w:rPr>
                            </w:pPr>
                            <w:r w:rsidRPr="00A63002">
                              <w:rPr>
                                <w:rFonts w:ascii="Century Gothic" w:eastAsia="Times New Roman" w:hAnsi="Century Gothic" w:cs="Times New Roman"/>
                                <w:b/>
                                <w:sz w:val="28"/>
                                <w:szCs w:val="20"/>
                                <w:lang w:val="en-US"/>
                              </w:rPr>
                              <w:t>STATE OF WISCONSIN</w:t>
                            </w:r>
                          </w:p>
                          <w:p w14:paraId="4BB629B2" w14:textId="77777777" w:rsidR="00A63002" w:rsidRPr="00A63002" w:rsidRDefault="00A63002" w:rsidP="00A63002">
                            <w:pPr>
                              <w:spacing w:line="240" w:lineRule="auto"/>
                              <w:jc w:val="center"/>
                              <w:rPr>
                                <w:rFonts w:ascii="Century Gothic" w:eastAsia="Times New Roman" w:hAnsi="Century Gothic" w:cs="Times New Roman"/>
                                <w:b/>
                                <w:sz w:val="28"/>
                                <w:szCs w:val="20"/>
                                <w:lang w:val="en-US"/>
                              </w:rPr>
                            </w:pPr>
                            <w:r w:rsidRPr="00A63002">
                              <w:rPr>
                                <w:rFonts w:ascii="Century Gothic" w:eastAsia="Times New Roman" w:hAnsi="Century Gothic" w:cs="Times New Roman"/>
                                <w:b/>
                                <w:sz w:val="28"/>
                                <w:szCs w:val="20"/>
                                <w:lang w:val="en-US"/>
                              </w:rPr>
                              <w:t>Department of Employee Trust Funds</w:t>
                            </w:r>
                          </w:p>
                          <w:p w14:paraId="0348187A" w14:textId="67DB035F" w:rsidR="007828B8" w:rsidRPr="004A7A4A" w:rsidRDefault="00A63002" w:rsidP="007828B8">
                            <w:pPr>
                              <w:jc w:val="center"/>
                              <w:rPr>
                                <w:rFonts w:ascii="Century Gothic" w:hAnsi="Century Gothic"/>
                                <w:b/>
                                <w:sz w:val="18"/>
                                <w:szCs w:val="18"/>
                              </w:rPr>
                            </w:pPr>
                            <w:r>
                              <w:rPr>
                                <w:rFonts w:ascii="Century Gothic" w:hAnsi="Century Gothic"/>
                                <w:b/>
                                <w:sz w:val="18"/>
                                <w:szCs w:val="18"/>
                              </w:rPr>
                              <w:t xml:space="preserve">A. </w:t>
                            </w:r>
                            <w:r w:rsidR="007828B8" w:rsidRPr="004A7A4A">
                              <w:rPr>
                                <w:rFonts w:ascii="Century Gothic" w:hAnsi="Century Gothic"/>
                                <w:b/>
                                <w:sz w:val="18"/>
                                <w:szCs w:val="18"/>
                              </w:rPr>
                              <w:t>J</w:t>
                            </w:r>
                            <w:r>
                              <w:rPr>
                                <w:rFonts w:ascii="Century Gothic" w:hAnsi="Century Gothic"/>
                                <w:b/>
                                <w:sz w:val="18"/>
                                <w:szCs w:val="18"/>
                              </w:rPr>
                              <w:t>ohn</w:t>
                            </w:r>
                            <w:r w:rsidR="007828B8" w:rsidRPr="004A7A4A">
                              <w:rPr>
                                <w:rFonts w:ascii="Century Gothic" w:hAnsi="Century Gothic"/>
                                <w:b/>
                                <w:sz w:val="18"/>
                                <w:szCs w:val="18"/>
                              </w:rPr>
                              <w:t xml:space="preserve"> </w:t>
                            </w:r>
                            <w:r>
                              <w:rPr>
                                <w:rFonts w:ascii="Century Gothic" w:hAnsi="Century Gothic"/>
                                <w:b/>
                                <w:sz w:val="18"/>
                                <w:szCs w:val="18"/>
                              </w:rPr>
                              <w:t>Voelker</w:t>
                            </w:r>
                          </w:p>
                          <w:p w14:paraId="7FDF9FF0" w14:textId="77777777" w:rsidR="007828B8" w:rsidRDefault="007828B8" w:rsidP="007828B8">
                            <w:pPr>
                              <w:jc w:val="center"/>
                              <w:rPr>
                                <w:rFonts w:ascii="Century Gothic" w:hAnsi="Century Gothic"/>
                                <w:sz w:val="16"/>
                              </w:rPr>
                            </w:pPr>
                            <w:r>
                              <w:rPr>
                                <w:rFonts w:ascii="Century Gothic" w:hAnsi="Century Gothic"/>
                                <w:sz w:val="16"/>
                              </w:rPr>
                              <w:t>SECRETARY</w:t>
                            </w:r>
                          </w:p>
                          <w:p w14:paraId="4107AD0E" w14:textId="77777777" w:rsidR="007828B8" w:rsidRDefault="007828B8" w:rsidP="007828B8">
                            <w:pPr>
                              <w:jc w:val="center"/>
                              <w:rPr>
                                <w:rFonts w:ascii="Century Gothic" w:hAnsi="Century Gothic"/>
                                <w:b/>
                                <w:sz w:val="28"/>
                              </w:rPr>
                            </w:pPr>
                          </w:p>
                        </w:txbxContent>
                      </v:textbox>
                      <w10:anchorlock/>
                    </v:shape>
                  </w:pict>
                </mc:Fallback>
              </mc:AlternateContent>
            </w:r>
          </w:p>
        </w:tc>
        <w:tc>
          <w:tcPr>
            <w:tcW w:w="2538" w:type="dxa"/>
            <w:tcBorders>
              <w:left w:val="single" w:sz="18" w:space="0" w:color="auto"/>
            </w:tcBorders>
          </w:tcPr>
          <w:p w14:paraId="161EAB7C" w14:textId="77777777" w:rsidR="007828B8" w:rsidRPr="007828B8" w:rsidRDefault="007828B8" w:rsidP="007828B8">
            <w:pPr>
              <w:spacing w:line="240" w:lineRule="auto"/>
              <w:jc w:val="right"/>
              <w:rPr>
                <w:rFonts w:eastAsia="Times New Roman" w:cs="Times New Roman"/>
                <w:sz w:val="24"/>
                <w:szCs w:val="24"/>
                <w:lang w:val="en-US"/>
              </w:rPr>
            </w:pPr>
            <w:r w:rsidRPr="007828B8">
              <w:rPr>
                <w:rFonts w:eastAsia="Times New Roman" w:cs="Times New Roman"/>
                <w:noProof/>
                <w:sz w:val="24"/>
                <w:szCs w:val="24"/>
                <w:lang w:val="en-US"/>
              </w:rPr>
              <mc:AlternateContent>
                <mc:Choice Requires="wps">
                  <w:drawing>
                    <wp:inline distT="0" distB="0" distL="0" distR="0" wp14:anchorId="4B1BBA4F" wp14:editId="01C73F8C">
                      <wp:extent cx="1371600" cy="1097280"/>
                      <wp:effectExtent l="0" t="0" r="0" b="0"/>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097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86CE05" w14:textId="77777777" w:rsidR="007828B8" w:rsidRPr="006370F7" w:rsidRDefault="007828B8" w:rsidP="007828B8">
                                  <w:pPr>
                                    <w:tabs>
                                      <w:tab w:val="left" w:pos="672"/>
                                      <w:tab w:val="left" w:pos="1152"/>
                                      <w:tab w:val="left" w:pos="1632"/>
                                      <w:tab w:val="left" w:pos="2112"/>
                                      <w:tab w:val="right" w:pos="10080"/>
                                    </w:tabs>
                                    <w:spacing w:line="240" w:lineRule="exact"/>
                                    <w:ind w:left="-90"/>
                                    <w:jc w:val="right"/>
                                    <w:rPr>
                                      <w:rFonts w:ascii="Century Gothic" w:hAnsi="Century Gothic"/>
                                      <w:color w:val="000000"/>
                                      <w:sz w:val="16"/>
                                      <w:szCs w:val="16"/>
                                    </w:rPr>
                                  </w:pPr>
                                  <w:r w:rsidRPr="006370F7">
                                    <w:rPr>
                                      <w:rFonts w:ascii="Century Gothic" w:hAnsi="Century Gothic"/>
                                      <w:color w:val="000000"/>
                                      <w:sz w:val="16"/>
                                      <w:szCs w:val="16"/>
                                    </w:rPr>
                                    <w:t>4822 Madison Yards Way</w:t>
                                  </w:r>
                                </w:p>
                                <w:p w14:paraId="749A9125" w14:textId="77777777" w:rsidR="007828B8" w:rsidRPr="006370F7" w:rsidRDefault="007828B8" w:rsidP="007828B8">
                                  <w:pPr>
                                    <w:tabs>
                                      <w:tab w:val="left" w:pos="672"/>
                                      <w:tab w:val="left" w:pos="1152"/>
                                      <w:tab w:val="left" w:pos="1632"/>
                                      <w:tab w:val="left" w:pos="2112"/>
                                      <w:tab w:val="right" w:pos="10080"/>
                                    </w:tabs>
                                    <w:spacing w:after="60" w:line="240" w:lineRule="exact"/>
                                    <w:jc w:val="right"/>
                                    <w:rPr>
                                      <w:rFonts w:ascii="Century Gothic" w:hAnsi="Century Gothic"/>
                                      <w:color w:val="000000"/>
                                      <w:sz w:val="16"/>
                                      <w:szCs w:val="16"/>
                                    </w:rPr>
                                  </w:pPr>
                                  <w:r w:rsidRPr="006370F7">
                                    <w:rPr>
                                      <w:rFonts w:ascii="Century Gothic" w:hAnsi="Century Gothic"/>
                                      <w:color w:val="000000"/>
                                      <w:sz w:val="16"/>
                                      <w:szCs w:val="16"/>
                                    </w:rPr>
                                    <w:t>Madison, WI 53705-9100</w:t>
                                  </w:r>
                                </w:p>
                                <w:p w14:paraId="68BF37E4" w14:textId="77777777" w:rsidR="007828B8" w:rsidRPr="006370F7" w:rsidRDefault="007828B8" w:rsidP="007828B8">
                                  <w:pPr>
                                    <w:tabs>
                                      <w:tab w:val="left" w:pos="672"/>
                                      <w:tab w:val="left" w:pos="1152"/>
                                      <w:tab w:val="left" w:pos="1632"/>
                                      <w:tab w:val="left" w:pos="2112"/>
                                      <w:tab w:val="right" w:pos="10080"/>
                                    </w:tabs>
                                    <w:spacing w:line="240" w:lineRule="exact"/>
                                    <w:jc w:val="right"/>
                                    <w:rPr>
                                      <w:rFonts w:ascii="Century Gothic" w:hAnsi="Century Gothic"/>
                                      <w:sz w:val="16"/>
                                      <w:szCs w:val="16"/>
                                    </w:rPr>
                                  </w:pPr>
                                  <w:r w:rsidRPr="006370F7">
                                    <w:rPr>
                                      <w:rFonts w:ascii="Century Gothic" w:hAnsi="Century Gothic"/>
                                      <w:sz w:val="16"/>
                                      <w:szCs w:val="16"/>
                                    </w:rPr>
                                    <w:t>P. O. Box 7931</w:t>
                                  </w:r>
                                </w:p>
                                <w:p w14:paraId="0AD024FC" w14:textId="77777777" w:rsidR="007828B8" w:rsidRDefault="007828B8" w:rsidP="007828B8">
                                  <w:pPr>
                                    <w:spacing w:after="60"/>
                                    <w:ind w:left="-187"/>
                                    <w:jc w:val="right"/>
                                    <w:rPr>
                                      <w:rFonts w:ascii="Century Gothic" w:hAnsi="Century Gothic"/>
                                      <w:sz w:val="16"/>
                                      <w:szCs w:val="16"/>
                                    </w:rPr>
                                  </w:pPr>
                                  <w:r w:rsidRPr="006370F7">
                                    <w:rPr>
                                      <w:rFonts w:ascii="Century Gothic" w:hAnsi="Century Gothic"/>
                                      <w:sz w:val="16"/>
                                      <w:szCs w:val="16"/>
                                    </w:rPr>
                                    <w:t>Madison, WI  53707-7931</w:t>
                                  </w:r>
                                </w:p>
                                <w:p w14:paraId="6E279463" w14:textId="77777777" w:rsidR="007828B8" w:rsidRPr="006370F7" w:rsidRDefault="007828B8" w:rsidP="007828B8">
                                  <w:pPr>
                                    <w:jc w:val="right"/>
                                    <w:rPr>
                                      <w:rFonts w:ascii="Century Gothic" w:hAnsi="Century Gothic"/>
                                      <w:sz w:val="16"/>
                                      <w:szCs w:val="16"/>
                                    </w:rPr>
                                  </w:pPr>
                                  <w:r w:rsidRPr="006370F7">
                                    <w:rPr>
                                      <w:rFonts w:ascii="Century Gothic" w:hAnsi="Century Gothic"/>
                                      <w:sz w:val="16"/>
                                      <w:szCs w:val="16"/>
                                    </w:rPr>
                                    <w:t>http://etf.wi.gov</w:t>
                                  </w:r>
                                </w:p>
                              </w:txbxContent>
                            </wps:txbx>
                            <wps:bodyPr rot="0" vert="horz" wrap="square" lIns="91440" tIns="45720" rIns="91440" bIns="45720" anchor="t" anchorCtr="0" upright="1">
                              <a:noAutofit/>
                            </wps:bodyPr>
                          </wps:wsp>
                        </a:graphicData>
                      </a:graphic>
                    </wp:inline>
                  </w:drawing>
                </mc:Choice>
                <mc:Fallback>
                  <w:pict>
                    <v:shape w14:anchorId="4B1BBA4F" id="Text Box 6" o:spid="_x0000_s1027" type="#_x0000_t202" style="width:108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y1v9gEAANIDAAAOAAAAZHJzL2Uyb0RvYy54bWysU1Fv0zAQfkfiP1h+p0lKWbeo6TQ6FSGN&#10;gTT4AY7jJBaJz5zdJuXXc3ayrhpviDxYvpz93X3ffd7cjn3HjgqdBlPwbJFypoyESpum4D++799d&#10;c+a8MJXowKiCn5Tjt9u3bzaDzdUSWugqhYxAjMsHW/DWe5sniZOt6oVbgFWGkjVgLzyF2CQVioHQ&#10;+y5ZpulVMgBWFkEq5+jv/ZTk24hf10r6r3XtlGddwak3H1eMaxnWZLsReYPCtlrObYh/6KIX2lDR&#10;M9S98IIdUP8F1WuJ4KD2Cwl9AnWtpYociE2WvmLz1AqrIhcSx9mzTO7/wcrH45P9hsyPH2GkAUYS&#10;zj6A/OmYgV0rTKPuEGFolaiocBYkSwbr8vlqkNrlLoCUwxeoaMji4CECjTX2QRXiyQidBnA6i65G&#10;z2Qo+X6dXaWUkpTL0pv18jqOJRH583WLzn9S0LOwKTjSVCO8OD44H9oR+fORUM1Bp6u97roYYFPu&#10;OmRHQQ7Yxy8yeHWsM+GwgXBtQgx/Is9AbSLpx3JkuppFCLRLqE5EHGEyFj0E2rSAvzkbyFQFd78O&#10;AhVn3WdD4t1kq1VwYQxWH9ZLCvAyU15mhJEEVXDP2bTd+cm5B4u6aanSNC4DdyR4raMUL13N7ZNx&#10;okKzyYMzL+N46uUpbv8AAAD//wMAUEsDBBQABgAIAAAAIQCs9VYL2gAAAAUBAAAPAAAAZHJzL2Rv&#10;d25yZXYueG1sTI9BT4NAEIXvJv6HzTTxYuxSolCRpVETjdfW/oABpkDKzhJ2W+i/d/RiL5O8vJc3&#10;38s3s+3VmUbfOTawWkagiCtXd9wY2H9/PKxB+YBcY++YDFzIw6a4vckxq93EWzrvQqOkhH2GBtoQ&#10;hkxrX7Vk0S/dQCzewY0Wg8ix0fWIk5TbXsdRlGiLHcuHFgd6b6k67k7WwOFrun96nsrPsE+3j8kb&#10;dmnpLsbcLebXF1CB5vAfhl98QYdCmEp34tqr3oAMCX9XvHiViCwllMZr0EWur+mLHwAAAP//AwBQ&#10;SwECLQAUAAYACAAAACEAtoM4kv4AAADhAQAAEwAAAAAAAAAAAAAAAAAAAAAAW0NvbnRlbnRfVHlw&#10;ZXNdLnhtbFBLAQItABQABgAIAAAAIQA4/SH/1gAAAJQBAAALAAAAAAAAAAAAAAAAAC8BAABfcmVs&#10;cy8ucmVsc1BLAQItABQABgAIAAAAIQD1cy1v9gEAANIDAAAOAAAAAAAAAAAAAAAAAC4CAABkcnMv&#10;ZTJvRG9jLnhtbFBLAQItABQABgAIAAAAIQCs9VYL2gAAAAUBAAAPAAAAAAAAAAAAAAAAAFAEAABk&#10;cnMvZG93bnJldi54bWxQSwUGAAAAAAQABADzAAAAVwUAAAAA&#10;" stroked="f">
                      <v:textbox>
                        <w:txbxContent>
                          <w:p w14:paraId="5E86CE05" w14:textId="77777777" w:rsidR="007828B8" w:rsidRPr="006370F7" w:rsidRDefault="007828B8" w:rsidP="007828B8">
                            <w:pPr>
                              <w:tabs>
                                <w:tab w:val="left" w:pos="672"/>
                                <w:tab w:val="left" w:pos="1152"/>
                                <w:tab w:val="left" w:pos="1632"/>
                                <w:tab w:val="left" w:pos="2112"/>
                                <w:tab w:val="right" w:pos="10080"/>
                              </w:tabs>
                              <w:spacing w:line="240" w:lineRule="exact"/>
                              <w:ind w:left="-90"/>
                              <w:jc w:val="right"/>
                              <w:rPr>
                                <w:rFonts w:ascii="Century Gothic" w:hAnsi="Century Gothic"/>
                                <w:color w:val="000000"/>
                                <w:sz w:val="16"/>
                                <w:szCs w:val="16"/>
                              </w:rPr>
                            </w:pPr>
                            <w:r w:rsidRPr="006370F7">
                              <w:rPr>
                                <w:rFonts w:ascii="Century Gothic" w:hAnsi="Century Gothic"/>
                                <w:color w:val="000000"/>
                                <w:sz w:val="16"/>
                                <w:szCs w:val="16"/>
                              </w:rPr>
                              <w:t>4822 Madison Yards Way</w:t>
                            </w:r>
                          </w:p>
                          <w:p w14:paraId="749A9125" w14:textId="77777777" w:rsidR="007828B8" w:rsidRPr="006370F7" w:rsidRDefault="007828B8" w:rsidP="007828B8">
                            <w:pPr>
                              <w:tabs>
                                <w:tab w:val="left" w:pos="672"/>
                                <w:tab w:val="left" w:pos="1152"/>
                                <w:tab w:val="left" w:pos="1632"/>
                                <w:tab w:val="left" w:pos="2112"/>
                                <w:tab w:val="right" w:pos="10080"/>
                              </w:tabs>
                              <w:spacing w:after="60" w:line="240" w:lineRule="exact"/>
                              <w:jc w:val="right"/>
                              <w:rPr>
                                <w:rFonts w:ascii="Century Gothic" w:hAnsi="Century Gothic"/>
                                <w:color w:val="000000"/>
                                <w:sz w:val="16"/>
                                <w:szCs w:val="16"/>
                              </w:rPr>
                            </w:pPr>
                            <w:r w:rsidRPr="006370F7">
                              <w:rPr>
                                <w:rFonts w:ascii="Century Gothic" w:hAnsi="Century Gothic"/>
                                <w:color w:val="000000"/>
                                <w:sz w:val="16"/>
                                <w:szCs w:val="16"/>
                              </w:rPr>
                              <w:t>Madison, WI 53705-9100</w:t>
                            </w:r>
                          </w:p>
                          <w:p w14:paraId="68BF37E4" w14:textId="77777777" w:rsidR="007828B8" w:rsidRPr="006370F7" w:rsidRDefault="007828B8" w:rsidP="007828B8">
                            <w:pPr>
                              <w:tabs>
                                <w:tab w:val="left" w:pos="672"/>
                                <w:tab w:val="left" w:pos="1152"/>
                                <w:tab w:val="left" w:pos="1632"/>
                                <w:tab w:val="left" w:pos="2112"/>
                                <w:tab w:val="right" w:pos="10080"/>
                              </w:tabs>
                              <w:spacing w:line="240" w:lineRule="exact"/>
                              <w:jc w:val="right"/>
                              <w:rPr>
                                <w:rFonts w:ascii="Century Gothic" w:hAnsi="Century Gothic"/>
                                <w:sz w:val="16"/>
                                <w:szCs w:val="16"/>
                              </w:rPr>
                            </w:pPr>
                            <w:r w:rsidRPr="006370F7">
                              <w:rPr>
                                <w:rFonts w:ascii="Century Gothic" w:hAnsi="Century Gothic"/>
                                <w:sz w:val="16"/>
                                <w:szCs w:val="16"/>
                              </w:rPr>
                              <w:t>P. O. Box 7931</w:t>
                            </w:r>
                          </w:p>
                          <w:p w14:paraId="0AD024FC" w14:textId="77777777" w:rsidR="007828B8" w:rsidRDefault="007828B8" w:rsidP="007828B8">
                            <w:pPr>
                              <w:spacing w:after="60"/>
                              <w:ind w:left="-187"/>
                              <w:jc w:val="right"/>
                              <w:rPr>
                                <w:rFonts w:ascii="Century Gothic" w:hAnsi="Century Gothic"/>
                                <w:sz w:val="16"/>
                                <w:szCs w:val="16"/>
                              </w:rPr>
                            </w:pPr>
                            <w:r w:rsidRPr="006370F7">
                              <w:rPr>
                                <w:rFonts w:ascii="Century Gothic" w:hAnsi="Century Gothic"/>
                                <w:sz w:val="16"/>
                                <w:szCs w:val="16"/>
                              </w:rPr>
                              <w:t>Madison, WI  53707-7931</w:t>
                            </w:r>
                          </w:p>
                          <w:p w14:paraId="6E279463" w14:textId="77777777" w:rsidR="007828B8" w:rsidRPr="006370F7" w:rsidRDefault="007828B8" w:rsidP="007828B8">
                            <w:pPr>
                              <w:jc w:val="right"/>
                              <w:rPr>
                                <w:rFonts w:ascii="Century Gothic" w:hAnsi="Century Gothic"/>
                                <w:sz w:val="16"/>
                                <w:szCs w:val="16"/>
                              </w:rPr>
                            </w:pPr>
                            <w:r w:rsidRPr="006370F7">
                              <w:rPr>
                                <w:rFonts w:ascii="Century Gothic" w:hAnsi="Century Gothic"/>
                                <w:sz w:val="16"/>
                                <w:szCs w:val="16"/>
                              </w:rPr>
                              <w:t>http://etf.wi.gov</w:t>
                            </w:r>
                          </w:p>
                        </w:txbxContent>
                      </v:textbox>
                      <w10:anchorlock/>
                    </v:shape>
                  </w:pict>
                </mc:Fallback>
              </mc:AlternateContent>
            </w:r>
          </w:p>
        </w:tc>
      </w:tr>
    </w:tbl>
    <w:p w14:paraId="33D176B6" w14:textId="77777777" w:rsidR="007828B8" w:rsidRPr="007828B8" w:rsidRDefault="007828B8" w:rsidP="007828B8">
      <w:pPr>
        <w:spacing w:line="240" w:lineRule="auto"/>
        <w:rPr>
          <w:rFonts w:eastAsia="Times New Roman" w:cs="Times New Roman"/>
          <w:lang w:val="en-US"/>
        </w:rPr>
      </w:pPr>
    </w:p>
    <w:p w14:paraId="05C3F891" w14:textId="3D2FBAB4" w:rsidR="007828B8" w:rsidRPr="007828B8" w:rsidRDefault="007828B8" w:rsidP="007828B8">
      <w:pPr>
        <w:spacing w:line="240" w:lineRule="auto"/>
        <w:rPr>
          <w:rFonts w:eastAsia="Times New Roman"/>
          <w:lang w:val="en-US"/>
        </w:rPr>
      </w:pPr>
      <w:r w:rsidRPr="007828B8">
        <w:rPr>
          <w:rFonts w:eastAsia="Times New Roman"/>
          <w:lang w:val="en-US"/>
        </w:rPr>
        <w:t>Date:</w:t>
      </w:r>
      <w:r w:rsidRPr="007828B8">
        <w:rPr>
          <w:rFonts w:eastAsia="Times New Roman"/>
          <w:lang w:val="en-US"/>
        </w:rPr>
        <w:tab/>
      </w:r>
      <w:r w:rsidRPr="007828B8">
        <w:rPr>
          <w:rFonts w:eastAsia="Times New Roman"/>
          <w:lang w:val="en-US"/>
        </w:rPr>
        <w:tab/>
      </w:r>
      <w:r w:rsidR="007319F4">
        <w:rPr>
          <w:rFonts w:eastAsia="Times New Roman"/>
          <w:lang w:val="en-US"/>
        </w:rPr>
        <w:t>April 26</w:t>
      </w:r>
      <w:r w:rsidR="0000140D" w:rsidRPr="007828B8">
        <w:rPr>
          <w:rFonts w:eastAsia="Times New Roman"/>
          <w:lang w:val="en-US"/>
        </w:rPr>
        <w:t xml:space="preserve">, </w:t>
      </w:r>
      <w:r w:rsidRPr="007828B8">
        <w:rPr>
          <w:rFonts w:eastAsia="Times New Roman"/>
          <w:lang w:val="en-US"/>
        </w:rPr>
        <w:t>202</w:t>
      </w:r>
      <w:r w:rsidR="007319F4">
        <w:rPr>
          <w:rFonts w:eastAsia="Times New Roman"/>
          <w:lang w:val="en-US"/>
        </w:rPr>
        <w:t>4</w:t>
      </w:r>
    </w:p>
    <w:p w14:paraId="4A237AFD" w14:textId="77777777" w:rsidR="007828B8" w:rsidRPr="007828B8" w:rsidRDefault="007828B8" w:rsidP="007828B8">
      <w:pPr>
        <w:spacing w:line="240" w:lineRule="auto"/>
        <w:rPr>
          <w:rFonts w:eastAsia="Times New Roman"/>
          <w:lang w:val="en-US"/>
        </w:rPr>
      </w:pPr>
    </w:p>
    <w:p w14:paraId="4E320B1C" w14:textId="228BC5D7" w:rsidR="007828B8" w:rsidRPr="007828B8" w:rsidRDefault="007828B8" w:rsidP="007828B8">
      <w:pPr>
        <w:spacing w:line="240" w:lineRule="auto"/>
        <w:rPr>
          <w:rFonts w:eastAsia="Times New Roman"/>
          <w:lang w:val="en-US"/>
        </w:rPr>
      </w:pPr>
      <w:r w:rsidRPr="007828B8">
        <w:rPr>
          <w:rFonts w:eastAsia="Times New Roman"/>
          <w:lang w:val="en-US"/>
        </w:rPr>
        <w:t>To:</w:t>
      </w:r>
      <w:r w:rsidRPr="007828B8">
        <w:rPr>
          <w:rFonts w:eastAsia="Times New Roman"/>
          <w:lang w:val="en-US"/>
        </w:rPr>
        <w:tab/>
      </w:r>
      <w:r w:rsidRPr="007828B8">
        <w:rPr>
          <w:rFonts w:eastAsia="Times New Roman"/>
          <w:lang w:val="en-US"/>
        </w:rPr>
        <w:tab/>
        <w:t>All Potential Proposers to RFP</w:t>
      </w:r>
      <w:r w:rsidR="001F3DE6">
        <w:rPr>
          <w:rFonts w:eastAsia="Times New Roman"/>
          <w:lang w:val="en-US"/>
        </w:rPr>
        <w:t>s</w:t>
      </w:r>
      <w:r w:rsidRPr="007828B8">
        <w:rPr>
          <w:rFonts w:eastAsia="Times New Roman"/>
          <w:lang w:val="en-US"/>
        </w:rPr>
        <w:t xml:space="preserve"> ET</w:t>
      </w:r>
      <w:r w:rsidR="007319F4">
        <w:rPr>
          <w:rFonts w:eastAsia="Times New Roman"/>
          <w:lang w:val="en-US"/>
        </w:rPr>
        <w:t>D0050-51</w:t>
      </w:r>
      <w:r w:rsidRPr="007828B8">
        <w:rPr>
          <w:rFonts w:eastAsia="Times New Roman"/>
          <w:lang w:val="en-US"/>
        </w:rPr>
        <w:t xml:space="preserve"> </w:t>
      </w:r>
    </w:p>
    <w:p w14:paraId="70E10AC9" w14:textId="77777777" w:rsidR="007828B8" w:rsidRPr="007828B8" w:rsidRDefault="007828B8" w:rsidP="007828B8">
      <w:pPr>
        <w:spacing w:line="240" w:lineRule="auto"/>
        <w:rPr>
          <w:rFonts w:eastAsia="Times New Roman"/>
          <w:lang w:val="en-US"/>
        </w:rPr>
      </w:pPr>
    </w:p>
    <w:p w14:paraId="17112BA3" w14:textId="618DD95C" w:rsidR="007828B8" w:rsidRPr="00B34C4C" w:rsidRDefault="007828B8" w:rsidP="007828B8">
      <w:pPr>
        <w:spacing w:line="240" w:lineRule="auto"/>
        <w:rPr>
          <w:rFonts w:eastAsia="Times New Roman"/>
          <w:lang w:val="en-US"/>
        </w:rPr>
      </w:pPr>
      <w:r w:rsidRPr="001F3DE6">
        <w:rPr>
          <w:rFonts w:eastAsia="Times New Roman"/>
          <w:lang w:val="en-US"/>
        </w:rPr>
        <w:t>RE:</w:t>
      </w:r>
      <w:r w:rsidRPr="001F3DE6">
        <w:rPr>
          <w:rFonts w:eastAsia="Times New Roman"/>
          <w:lang w:val="en-US"/>
        </w:rPr>
        <w:tab/>
      </w:r>
      <w:r w:rsidRPr="001F3DE6">
        <w:rPr>
          <w:rFonts w:eastAsia="Times New Roman"/>
          <w:lang w:val="en-US"/>
        </w:rPr>
        <w:tab/>
      </w:r>
      <w:r w:rsidR="002829D3">
        <w:rPr>
          <w:rFonts w:eastAsia="Times New Roman"/>
          <w:lang w:val="en-US"/>
        </w:rPr>
        <w:t>Addendum</w:t>
      </w:r>
      <w:r w:rsidRPr="003F1A45">
        <w:rPr>
          <w:rFonts w:eastAsia="Times New Roman"/>
          <w:lang w:val="en-US"/>
        </w:rPr>
        <w:t xml:space="preserve"> No. </w:t>
      </w:r>
      <w:r w:rsidR="001F3DE6" w:rsidRPr="003F1A45">
        <w:rPr>
          <w:rFonts w:eastAsia="Times New Roman"/>
          <w:lang w:val="en-US"/>
        </w:rPr>
        <w:t>1</w:t>
      </w:r>
      <w:r w:rsidR="002829D3">
        <w:rPr>
          <w:rFonts w:eastAsia="Times New Roman"/>
          <w:lang w:val="en-US"/>
        </w:rPr>
        <w:t xml:space="preserve"> to </w:t>
      </w:r>
      <w:r w:rsidRPr="003F1A45">
        <w:rPr>
          <w:rFonts w:eastAsia="Times New Roman"/>
          <w:lang w:val="en-US"/>
        </w:rPr>
        <w:t>Request for Proposals (RFP</w:t>
      </w:r>
      <w:r w:rsidR="001F3DE6">
        <w:rPr>
          <w:rFonts w:eastAsia="Times New Roman"/>
          <w:lang w:val="en-US"/>
        </w:rPr>
        <w:t>s</w:t>
      </w:r>
      <w:r w:rsidRPr="00B34C4C">
        <w:rPr>
          <w:rFonts w:eastAsia="Times New Roman"/>
          <w:lang w:val="en-US"/>
        </w:rPr>
        <w:t>) ET</w:t>
      </w:r>
      <w:r w:rsidR="007319F4">
        <w:rPr>
          <w:rFonts w:eastAsia="Times New Roman"/>
          <w:lang w:val="en-US"/>
        </w:rPr>
        <w:t>D0050-51</w:t>
      </w:r>
    </w:p>
    <w:p w14:paraId="08C3B9ED" w14:textId="23874FBE" w:rsidR="007828B8" w:rsidRDefault="007828B8" w:rsidP="007828B8">
      <w:pPr>
        <w:spacing w:line="240" w:lineRule="auto"/>
        <w:ind w:left="1440"/>
        <w:rPr>
          <w:rFonts w:eastAsia="Times New Roman"/>
          <w:lang w:val="en-US"/>
        </w:rPr>
      </w:pPr>
      <w:r w:rsidRPr="00B34C4C">
        <w:rPr>
          <w:rFonts w:eastAsia="Times New Roman"/>
          <w:lang w:val="en-US"/>
        </w:rPr>
        <w:t xml:space="preserve">Third Party Administration of </w:t>
      </w:r>
      <w:r w:rsidR="007319F4">
        <w:rPr>
          <w:rFonts w:eastAsia="Times New Roman"/>
          <w:lang w:val="en-US"/>
        </w:rPr>
        <w:t xml:space="preserve">IYC Medicare Advantage and Medicare Plus </w:t>
      </w:r>
      <w:r w:rsidRPr="00B34C4C">
        <w:rPr>
          <w:rFonts w:eastAsia="Times New Roman"/>
          <w:lang w:val="en-US"/>
        </w:rPr>
        <w:t>Program</w:t>
      </w:r>
      <w:r w:rsidR="007319F4">
        <w:rPr>
          <w:rFonts w:eastAsia="Times New Roman"/>
          <w:lang w:val="en-US"/>
        </w:rPr>
        <w:t>s</w:t>
      </w:r>
      <w:r w:rsidRPr="00B34C4C">
        <w:rPr>
          <w:rFonts w:eastAsia="Times New Roman"/>
          <w:lang w:val="en-US"/>
        </w:rPr>
        <w:t xml:space="preserve"> </w:t>
      </w:r>
    </w:p>
    <w:p w14:paraId="0669CD9F" w14:textId="2FF8AB89" w:rsidR="00564223" w:rsidRPr="00B34C4C" w:rsidRDefault="00564223" w:rsidP="007828B8">
      <w:pPr>
        <w:spacing w:line="240" w:lineRule="auto"/>
        <w:ind w:left="1440"/>
        <w:rPr>
          <w:rFonts w:eastAsia="Times New Roman"/>
          <w:lang w:val="en-US"/>
        </w:rPr>
      </w:pPr>
      <w:r>
        <w:rPr>
          <w:rFonts w:eastAsia="Times New Roman"/>
          <w:lang w:val="en-US"/>
        </w:rPr>
        <w:t>Vendor Q&amp;A</w:t>
      </w:r>
    </w:p>
    <w:p w14:paraId="57C064EE" w14:textId="77777777" w:rsidR="007828B8" w:rsidRPr="007828B8" w:rsidRDefault="007828B8" w:rsidP="007828B8">
      <w:pPr>
        <w:spacing w:line="240" w:lineRule="auto"/>
        <w:ind w:left="1440"/>
        <w:rPr>
          <w:rFonts w:eastAsia="Times New Roman"/>
          <w:b/>
          <w:lang w:val="en-US"/>
        </w:rPr>
      </w:pPr>
    </w:p>
    <w:p w14:paraId="0AECE245" w14:textId="5FC10BA6" w:rsidR="007828B8" w:rsidRPr="007828B8" w:rsidRDefault="007828B8" w:rsidP="007828B8">
      <w:pPr>
        <w:spacing w:line="240" w:lineRule="auto"/>
        <w:rPr>
          <w:rFonts w:eastAsia="Times New Roman"/>
          <w:lang w:val="en-US"/>
        </w:rPr>
      </w:pPr>
      <w:r w:rsidRPr="007828B8">
        <w:rPr>
          <w:rFonts w:eastAsia="Times New Roman"/>
          <w:lang w:val="en-US"/>
        </w:rPr>
        <w:t xml:space="preserve">This Addendum is available on ETF’s web site at </w:t>
      </w:r>
      <w:bookmarkStart w:id="0" w:name="_Hlk160713392"/>
      <w:r w:rsidR="007319F4">
        <w:fldChar w:fldCharType="begin"/>
      </w:r>
      <w:r w:rsidR="007319F4">
        <w:instrText>HYPERLINK "https://etf.wi.gov/node/35426"</w:instrText>
      </w:r>
      <w:r w:rsidR="007319F4">
        <w:fldChar w:fldCharType="separate"/>
      </w:r>
      <w:r w:rsidR="007319F4" w:rsidRPr="00170284">
        <w:rPr>
          <w:rStyle w:val="Hyperlink"/>
        </w:rPr>
        <w:t>https://etf.wi.gov/node/35426</w:t>
      </w:r>
      <w:r w:rsidR="007319F4">
        <w:rPr>
          <w:rStyle w:val="Hyperlink"/>
        </w:rPr>
        <w:fldChar w:fldCharType="end"/>
      </w:r>
      <w:bookmarkEnd w:id="0"/>
      <w:r w:rsidR="007319F4">
        <w:rPr>
          <w:rStyle w:val="Hyperlink"/>
        </w:rPr>
        <w:t xml:space="preserve"> </w:t>
      </w:r>
      <w:r w:rsidRPr="007828B8">
        <w:rPr>
          <w:rFonts w:eastAsia="Times New Roman" w:cs="Times New Roman"/>
          <w:szCs w:val="20"/>
          <w:lang w:val="en-US"/>
        </w:rPr>
        <w:t xml:space="preserve"> </w:t>
      </w:r>
    </w:p>
    <w:p w14:paraId="3CB12272" w14:textId="77777777" w:rsidR="007828B8" w:rsidRPr="007828B8" w:rsidRDefault="007828B8" w:rsidP="007828B8">
      <w:pPr>
        <w:pBdr>
          <w:bottom w:val="single" w:sz="4" w:space="1" w:color="auto"/>
        </w:pBdr>
        <w:spacing w:line="240" w:lineRule="auto"/>
        <w:rPr>
          <w:rFonts w:eastAsia="Times New Roman"/>
          <w:lang w:val="en-US"/>
        </w:rPr>
      </w:pPr>
    </w:p>
    <w:p w14:paraId="72833DC9" w14:textId="77777777" w:rsidR="007828B8" w:rsidRPr="007828B8" w:rsidRDefault="007828B8" w:rsidP="007828B8">
      <w:pPr>
        <w:spacing w:line="240" w:lineRule="auto"/>
        <w:rPr>
          <w:rFonts w:eastAsia="Times New Roman"/>
          <w:b/>
          <w:lang w:val="en-US"/>
        </w:rPr>
      </w:pPr>
    </w:p>
    <w:p w14:paraId="2FE64813" w14:textId="77DD47B2" w:rsidR="007828B8" w:rsidRPr="007828B8" w:rsidRDefault="007828B8" w:rsidP="007828B8">
      <w:pPr>
        <w:spacing w:line="240" w:lineRule="auto"/>
        <w:rPr>
          <w:rFonts w:eastAsia="Times New Roman"/>
          <w:b/>
          <w:lang w:val="en-US"/>
        </w:rPr>
      </w:pPr>
      <w:r w:rsidRPr="007828B8">
        <w:rPr>
          <w:rFonts w:eastAsia="Times New Roman"/>
          <w:b/>
          <w:lang w:val="en-US"/>
        </w:rPr>
        <w:t xml:space="preserve">Acknowledgement of receipt of this Addendum No. </w:t>
      </w:r>
      <w:r w:rsidR="00036339">
        <w:rPr>
          <w:rFonts w:eastAsia="Times New Roman"/>
          <w:b/>
          <w:lang w:val="en-US"/>
        </w:rPr>
        <w:t>1</w:t>
      </w:r>
      <w:r w:rsidRPr="007828B8">
        <w:rPr>
          <w:rFonts w:eastAsia="Times New Roman"/>
          <w:b/>
          <w:lang w:val="en-US"/>
        </w:rPr>
        <w:t xml:space="preserve">:  </w:t>
      </w:r>
    </w:p>
    <w:p w14:paraId="3067C4B7" w14:textId="77777777" w:rsidR="007828B8" w:rsidRPr="007828B8" w:rsidRDefault="007828B8" w:rsidP="007828B8">
      <w:pPr>
        <w:spacing w:line="240" w:lineRule="auto"/>
        <w:rPr>
          <w:rFonts w:eastAsia="Times New Roman"/>
          <w:b/>
          <w:lang w:val="en-US"/>
        </w:rPr>
      </w:pPr>
    </w:p>
    <w:p w14:paraId="17F262B8" w14:textId="39FE56B1" w:rsidR="007828B8" w:rsidRPr="007828B8" w:rsidRDefault="007828B8" w:rsidP="007828B8">
      <w:pPr>
        <w:spacing w:line="240" w:lineRule="auto"/>
        <w:rPr>
          <w:rFonts w:eastAsia="Times New Roman"/>
          <w:b/>
          <w:lang w:val="en-US"/>
        </w:rPr>
      </w:pPr>
      <w:r w:rsidRPr="00564223">
        <w:rPr>
          <w:rFonts w:eastAsia="Times New Roman"/>
          <w:b/>
          <w:highlight w:val="yellow"/>
          <w:lang w:val="en-US"/>
        </w:rPr>
        <w:t xml:space="preserve">Proposers must acknowledge receipt of this Addendum No. </w:t>
      </w:r>
      <w:r w:rsidR="00887DC2" w:rsidRPr="00564223">
        <w:rPr>
          <w:rFonts w:eastAsia="Times New Roman"/>
          <w:b/>
          <w:highlight w:val="yellow"/>
          <w:lang w:val="en-US"/>
        </w:rPr>
        <w:t xml:space="preserve">1 </w:t>
      </w:r>
      <w:r w:rsidRPr="00564223">
        <w:rPr>
          <w:rFonts w:eastAsia="Times New Roman"/>
          <w:b/>
          <w:highlight w:val="yellow"/>
          <w:lang w:val="en-US"/>
        </w:rPr>
        <w:t xml:space="preserve">by providing the required information in the </w:t>
      </w:r>
      <w:r w:rsidR="000F0F69" w:rsidRPr="00564223">
        <w:rPr>
          <w:rFonts w:eastAsia="Times New Roman"/>
          <w:b/>
          <w:highlight w:val="yellow"/>
          <w:lang w:val="en-US"/>
        </w:rPr>
        <w:t xml:space="preserve">table </w:t>
      </w:r>
      <w:r w:rsidRPr="00564223">
        <w:rPr>
          <w:rFonts w:eastAsia="Times New Roman"/>
          <w:b/>
          <w:highlight w:val="yellow"/>
          <w:lang w:val="en-US"/>
        </w:rPr>
        <w:t xml:space="preserve">below and including this Page 1 </w:t>
      </w:r>
      <w:r w:rsidR="00234CC7" w:rsidRPr="00564223">
        <w:rPr>
          <w:rFonts w:eastAsia="Times New Roman"/>
          <w:b/>
          <w:highlight w:val="yellow"/>
          <w:lang w:val="en-US"/>
        </w:rPr>
        <w:t xml:space="preserve">with </w:t>
      </w:r>
      <w:r w:rsidRPr="00564223">
        <w:rPr>
          <w:rFonts w:eastAsia="Times New Roman"/>
          <w:b/>
          <w:highlight w:val="yellow"/>
          <w:lang w:val="en-US"/>
        </w:rPr>
        <w:t xml:space="preserve">their </w:t>
      </w:r>
      <w:r w:rsidR="007319F4" w:rsidRPr="00564223">
        <w:rPr>
          <w:rFonts w:eastAsia="Times New Roman"/>
          <w:b/>
          <w:highlight w:val="yellow"/>
          <w:lang w:val="en-US"/>
        </w:rPr>
        <w:t>P</w:t>
      </w:r>
      <w:r w:rsidRPr="00564223">
        <w:rPr>
          <w:rFonts w:eastAsia="Times New Roman"/>
          <w:b/>
          <w:highlight w:val="yellow"/>
          <w:lang w:val="en-US"/>
        </w:rPr>
        <w:t>roposal</w:t>
      </w:r>
      <w:r w:rsidR="00234CC7" w:rsidRPr="00564223">
        <w:rPr>
          <w:rFonts w:eastAsia="Times New Roman"/>
          <w:b/>
          <w:highlight w:val="yellow"/>
          <w:lang w:val="en-US"/>
        </w:rPr>
        <w:t xml:space="preserve"> cover letter</w:t>
      </w:r>
      <w:r w:rsidRPr="00564223">
        <w:rPr>
          <w:rFonts w:eastAsia="Times New Roman"/>
          <w:b/>
          <w:highlight w:val="yellow"/>
          <w:lang w:val="en-US"/>
        </w:rPr>
        <w:t>.</w:t>
      </w:r>
      <w:r w:rsidR="007319F4">
        <w:rPr>
          <w:rFonts w:eastAsia="Times New Roman"/>
          <w:b/>
          <w:lang w:val="en-US"/>
        </w:rPr>
        <w:t xml:space="preserve"> </w:t>
      </w:r>
    </w:p>
    <w:tbl>
      <w:tblPr>
        <w:tblpPr w:leftFromText="180" w:rightFromText="180" w:vertAnchor="text" w:horzAnchor="margin" w:tblpY="169"/>
        <w:tblW w:w="9330"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135"/>
        <w:gridCol w:w="6195"/>
      </w:tblGrid>
      <w:tr w:rsidR="007828B8" w:rsidRPr="007828B8" w14:paraId="5828FF54" w14:textId="77777777" w:rsidTr="007D2090">
        <w:trPr>
          <w:trHeight w:hRule="exact" w:val="483"/>
        </w:trPr>
        <w:tc>
          <w:tcPr>
            <w:tcW w:w="3135" w:type="dxa"/>
            <w:tcBorders>
              <w:left w:val="single" w:sz="12" w:space="0" w:color="auto"/>
              <w:bottom w:val="single" w:sz="4" w:space="0" w:color="auto"/>
              <w:right w:val="single" w:sz="12" w:space="0" w:color="auto"/>
            </w:tcBorders>
          </w:tcPr>
          <w:p w14:paraId="48C1F633" w14:textId="77777777" w:rsidR="007828B8" w:rsidRPr="007828B8" w:rsidRDefault="007828B8" w:rsidP="007828B8">
            <w:pPr>
              <w:spacing w:before="120" w:after="120" w:line="240" w:lineRule="auto"/>
              <w:rPr>
                <w:rFonts w:eastAsia="Times New Roman"/>
                <w:sz w:val="20"/>
                <w:szCs w:val="20"/>
                <w:lang w:val="en-US"/>
              </w:rPr>
            </w:pPr>
            <w:r w:rsidRPr="007828B8">
              <w:rPr>
                <w:rFonts w:eastAsia="Times New Roman"/>
                <w:sz w:val="20"/>
                <w:szCs w:val="20"/>
                <w:lang w:val="en-US"/>
              </w:rPr>
              <w:t>Company Name:</w:t>
            </w:r>
          </w:p>
        </w:tc>
        <w:tc>
          <w:tcPr>
            <w:tcW w:w="6195" w:type="dxa"/>
            <w:tcBorders>
              <w:left w:val="single" w:sz="12" w:space="0" w:color="auto"/>
              <w:bottom w:val="single" w:sz="4" w:space="0" w:color="auto"/>
              <w:right w:val="single" w:sz="12" w:space="0" w:color="auto"/>
            </w:tcBorders>
          </w:tcPr>
          <w:p w14:paraId="540ED5B2" w14:textId="77777777" w:rsidR="007828B8" w:rsidRPr="007828B8" w:rsidRDefault="007828B8" w:rsidP="007828B8">
            <w:pPr>
              <w:spacing w:before="120" w:after="120" w:line="240" w:lineRule="auto"/>
              <w:rPr>
                <w:rFonts w:eastAsia="Times New Roman"/>
                <w:lang w:val="en-US"/>
              </w:rPr>
            </w:pPr>
          </w:p>
        </w:tc>
      </w:tr>
      <w:tr w:rsidR="007828B8" w:rsidRPr="007828B8" w14:paraId="5645D89D" w14:textId="77777777" w:rsidTr="007D2090">
        <w:trPr>
          <w:trHeight w:hRule="exact" w:val="607"/>
        </w:trPr>
        <w:tc>
          <w:tcPr>
            <w:tcW w:w="3135" w:type="dxa"/>
            <w:tcBorders>
              <w:left w:val="single" w:sz="12" w:space="0" w:color="auto"/>
              <w:bottom w:val="single" w:sz="4" w:space="0" w:color="auto"/>
              <w:right w:val="single" w:sz="12" w:space="0" w:color="auto"/>
            </w:tcBorders>
          </w:tcPr>
          <w:p w14:paraId="37D82869" w14:textId="77777777" w:rsidR="007828B8" w:rsidRPr="007828B8" w:rsidRDefault="007828B8" w:rsidP="007828B8">
            <w:pPr>
              <w:spacing w:before="120" w:line="240" w:lineRule="auto"/>
              <w:rPr>
                <w:rFonts w:eastAsia="Times New Roman"/>
                <w:sz w:val="18"/>
                <w:szCs w:val="18"/>
                <w:lang w:val="en-US"/>
              </w:rPr>
            </w:pPr>
            <w:r w:rsidRPr="007828B8">
              <w:rPr>
                <w:rFonts w:eastAsia="Times New Roman"/>
                <w:sz w:val="20"/>
                <w:szCs w:val="20"/>
                <w:lang w:val="en-US"/>
              </w:rPr>
              <w:t xml:space="preserve">Authorized Person </w:t>
            </w:r>
            <w:r w:rsidRPr="007828B8">
              <w:rPr>
                <w:rFonts w:eastAsia="Times New Roman"/>
                <w:sz w:val="18"/>
                <w:szCs w:val="18"/>
                <w:lang w:val="en-US"/>
              </w:rPr>
              <w:t>(Printed/Typed Name and Title):</w:t>
            </w:r>
          </w:p>
          <w:p w14:paraId="7A931763" w14:textId="77777777" w:rsidR="007828B8" w:rsidRPr="007828B8" w:rsidRDefault="007828B8" w:rsidP="007828B8">
            <w:pPr>
              <w:spacing w:before="120" w:after="120" w:line="240" w:lineRule="auto"/>
              <w:rPr>
                <w:rFonts w:eastAsia="Times New Roman"/>
                <w:sz w:val="20"/>
                <w:szCs w:val="20"/>
                <w:lang w:val="en-US"/>
              </w:rPr>
            </w:pPr>
          </w:p>
          <w:p w14:paraId="77F52999" w14:textId="77777777" w:rsidR="007828B8" w:rsidRPr="007828B8" w:rsidRDefault="007828B8" w:rsidP="007828B8">
            <w:pPr>
              <w:spacing w:before="120" w:after="120" w:line="240" w:lineRule="auto"/>
              <w:rPr>
                <w:rFonts w:eastAsia="Times New Roman"/>
                <w:sz w:val="20"/>
                <w:szCs w:val="20"/>
                <w:lang w:val="en-US"/>
              </w:rPr>
            </w:pPr>
          </w:p>
          <w:p w14:paraId="1349BD82" w14:textId="77777777" w:rsidR="007828B8" w:rsidRPr="007828B8" w:rsidRDefault="007828B8" w:rsidP="007828B8">
            <w:pPr>
              <w:spacing w:before="120" w:after="120" w:line="240" w:lineRule="auto"/>
              <w:rPr>
                <w:rFonts w:eastAsia="Times New Roman"/>
                <w:sz w:val="20"/>
                <w:szCs w:val="20"/>
                <w:lang w:val="en-US"/>
              </w:rPr>
            </w:pPr>
          </w:p>
        </w:tc>
        <w:tc>
          <w:tcPr>
            <w:tcW w:w="6195" w:type="dxa"/>
            <w:tcBorders>
              <w:left w:val="single" w:sz="12" w:space="0" w:color="auto"/>
              <w:bottom w:val="single" w:sz="4" w:space="0" w:color="auto"/>
              <w:right w:val="single" w:sz="12" w:space="0" w:color="auto"/>
            </w:tcBorders>
          </w:tcPr>
          <w:p w14:paraId="0EF7DF80" w14:textId="77777777" w:rsidR="007828B8" w:rsidRPr="007828B8" w:rsidRDefault="007828B8" w:rsidP="007828B8">
            <w:pPr>
              <w:spacing w:before="120" w:after="120" w:line="240" w:lineRule="auto"/>
              <w:rPr>
                <w:rFonts w:eastAsia="Times New Roman"/>
                <w:lang w:val="en-US"/>
              </w:rPr>
            </w:pPr>
          </w:p>
        </w:tc>
      </w:tr>
      <w:tr w:rsidR="007828B8" w:rsidRPr="007828B8" w14:paraId="724C5306" w14:textId="77777777" w:rsidTr="007D2090">
        <w:tc>
          <w:tcPr>
            <w:tcW w:w="3135" w:type="dxa"/>
            <w:tcBorders>
              <w:top w:val="single" w:sz="4" w:space="0" w:color="auto"/>
              <w:left w:val="single" w:sz="12" w:space="0" w:color="auto"/>
              <w:bottom w:val="single" w:sz="12" w:space="0" w:color="auto"/>
              <w:right w:val="single" w:sz="12" w:space="0" w:color="auto"/>
            </w:tcBorders>
          </w:tcPr>
          <w:p w14:paraId="5093D1D5" w14:textId="77777777" w:rsidR="007828B8" w:rsidRPr="007828B8" w:rsidRDefault="007828B8" w:rsidP="007828B8">
            <w:pPr>
              <w:spacing w:before="120" w:after="120" w:line="240" w:lineRule="auto"/>
              <w:rPr>
                <w:rFonts w:eastAsia="Times New Roman"/>
                <w:sz w:val="20"/>
                <w:szCs w:val="20"/>
                <w:lang w:val="en-US"/>
              </w:rPr>
            </w:pPr>
            <w:r w:rsidRPr="007828B8">
              <w:rPr>
                <w:rFonts w:eastAsia="Times New Roman"/>
                <w:sz w:val="20"/>
                <w:szCs w:val="20"/>
                <w:lang w:val="en-US"/>
              </w:rPr>
              <w:t>Date:</w:t>
            </w:r>
          </w:p>
        </w:tc>
        <w:tc>
          <w:tcPr>
            <w:tcW w:w="6195" w:type="dxa"/>
            <w:tcBorders>
              <w:top w:val="single" w:sz="4" w:space="0" w:color="auto"/>
              <w:left w:val="single" w:sz="12" w:space="0" w:color="auto"/>
              <w:bottom w:val="single" w:sz="12" w:space="0" w:color="auto"/>
              <w:right w:val="single" w:sz="12" w:space="0" w:color="auto"/>
            </w:tcBorders>
          </w:tcPr>
          <w:p w14:paraId="51E5A734" w14:textId="77777777" w:rsidR="007828B8" w:rsidRPr="007828B8" w:rsidRDefault="007828B8" w:rsidP="007828B8">
            <w:pPr>
              <w:spacing w:before="120" w:after="120" w:line="240" w:lineRule="auto"/>
              <w:rPr>
                <w:rFonts w:eastAsia="Times New Roman"/>
                <w:lang w:val="en-US"/>
              </w:rPr>
            </w:pPr>
          </w:p>
        </w:tc>
      </w:tr>
    </w:tbl>
    <w:p w14:paraId="73479D05" w14:textId="77777777" w:rsidR="00996C40" w:rsidRDefault="00996C40" w:rsidP="009D1766">
      <w:pPr>
        <w:rPr>
          <w:b/>
        </w:rPr>
      </w:pPr>
    </w:p>
    <w:p w14:paraId="7B347EA7" w14:textId="77777777" w:rsidR="00996C40" w:rsidRDefault="00996C40" w:rsidP="009D1766">
      <w:pPr>
        <w:rPr>
          <w:b/>
        </w:rPr>
      </w:pPr>
    </w:p>
    <w:p w14:paraId="19145BBC" w14:textId="77777777" w:rsidR="00996C40" w:rsidRDefault="00996C40" w:rsidP="009D1766">
      <w:pPr>
        <w:rPr>
          <w:b/>
        </w:rPr>
      </w:pPr>
    </w:p>
    <w:p w14:paraId="27DA8D02" w14:textId="77777777" w:rsidR="00996C40" w:rsidRDefault="00996C40" w:rsidP="009D1766">
      <w:pPr>
        <w:rPr>
          <w:b/>
        </w:rPr>
      </w:pPr>
    </w:p>
    <w:p w14:paraId="376D8FCF" w14:textId="77777777" w:rsidR="00996C40" w:rsidRDefault="00996C40" w:rsidP="009D1766">
      <w:pPr>
        <w:rPr>
          <w:b/>
        </w:rPr>
      </w:pPr>
    </w:p>
    <w:p w14:paraId="1568BE8A" w14:textId="77777777" w:rsidR="00996C40" w:rsidRDefault="00996C40" w:rsidP="009D1766">
      <w:pPr>
        <w:rPr>
          <w:b/>
        </w:rPr>
      </w:pPr>
    </w:p>
    <w:p w14:paraId="540D5C3A" w14:textId="77777777" w:rsidR="00996C40" w:rsidRDefault="00996C40" w:rsidP="009D1766">
      <w:pPr>
        <w:rPr>
          <w:b/>
        </w:rPr>
      </w:pPr>
    </w:p>
    <w:p w14:paraId="17A837BC" w14:textId="0371742E" w:rsidR="00A578B0" w:rsidRPr="007D2090" w:rsidRDefault="00234CC7" w:rsidP="00A578B0">
      <w:pPr>
        <w:ind w:left="360" w:hanging="360"/>
        <w:rPr>
          <w:b/>
          <w:bCs/>
        </w:rPr>
      </w:pPr>
      <w:r>
        <w:rPr>
          <w:b/>
          <w:bCs/>
        </w:rPr>
        <w:t>1</w:t>
      </w:r>
      <w:r w:rsidR="00A578B0" w:rsidRPr="007D2090">
        <w:rPr>
          <w:b/>
          <w:bCs/>
        </w:rPr>
        <w:t xml:space="preserve">. </w:t>
      </w:r>
      <w:r w:rsidR="00A578B0" w:rsidRPr="007D2090">
        <w:rPr>
          <w:b/>
          <w:bCs/>
        </w:rPr>
        <w:tab/>
      </w:r>
      <w:r>
        <w:rPr>
          <w:b/>
          <w:bCs/>
        </w:rPr>
        <w:t>T</w:t>
      </w:r>
      <w:r w:rsidR="00A578B0" w:rsidRPr="007D2090">
        <w:rPr>
          <w:b/>
          <w:bCs/>
        </w:rPr>
        <w:t>he following questions from Proposers and answers from the Department</w:t>
      </w:r>
      <w:r>
        <w:rPr>
          <w:b/>
          <w:bCs/>
        </w:rPr>
        <w:t xml:space="preserve"> are hereby added to RFPs ETD0050-51</w:t>
      </w:r>
      <w:r w:rsidR="00A578B0" w:rsidRPr="007D2090">
        <w:rPr>
          <w:b/>
          <w:bCs/>
        </w:rPr>
        <w:t xml:space="preserve">:  </w:t>
      </w:r>
    </w:p>
    <w:p w14:paraId="314C91B3" w14:textId="77777777" w:rsidR="00564223" w:rsidRPr="00061E20" w:rsidRDefault="00564223" w:rsidP="00564223">
      <w:pPr>
        <w:tabs>
          <w:tab w:val="left" w:pos="704"/>
          <w:tab w:val="left" w:pos="2358"/>
          <w:tab w:val="left" w:pos="3453"/>
          <w:tab w:val="left" w:pos="7151"/>
        </w:tabs>
        <w:ind w:left="108"/>
        <w:rPr>
          <w:color w:val="FFFFFF" w:themeColor="background1"/>
        </w:rPr>
      </w:pPr>
      <w:r w:rsidRPr="00061E20">
        <w:rPr>
          <w:color w:val="FFFFFF" w:themeColor="background1"/>
        </w:rPr>
        <w:tab/>
      </w:r>
      <w:r w:rsidRPr="00061E20">
        <w:rPr>
          <w:color w:val="FFFFFF" w:themeColor="background1"/>
        </w:rPr>
        <w:tab/>
      </w:r>
      <w:r w:rsidRPr="00061E20">
        <w:rPr>
          <w:color w:val="FFFFFF" w:themeColor="background1"/>
        </w:rPr>
        <w:tab/>
      </w:r>
      <w:r w:rsidRPr="00061E20">
        <w:rPr>
          <w:color w:val="FFFFFF" w:themeColor="background1"/>
        </w:rPr>
        <w:tab/>
      </w: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1680"/>
        <w:gridCol w:w="1095"/>
        <w:gridCol w:w="3673"/>
        <w:gridCol w:w="3210"/>
      </w:tblGrid>
      <w:tr w:rsidR="00564223" w14:paraId="178E531C" w14:textId="77777777" w:rsidTr="0097193C">
        <w:trPr>
          <w:tblHeader/>
        </w:trPr>
        <w:tc>
          <w:tcPr>
            <w:tcW w:w="602" w:type="dxa"/>
            <w:shd w:val="clear" w:color="auto" w:fill="44546A" w:themeFill="text2"/>
          </w:tcPr>
          <w:p w14:paraId="617E46FC" w14:textId="77777777" w:rsidR="00564223" w:rsidRPr="002742DB" w:rsidRDefault="00564223" w:rsidP="0097193C">
            <w:pPr>
              <w:rPr>
                <w:color w:val="FFFFFF" w:themeColor="background1"/>
              </w:rPr>
            </w:pPr>
            <w:r w:rsidRPr="002742DB">
              <w:rPr>
                <w:color w:val="FFFFFF" w:themeColor="background1"/>
              </w:rPr>
              <w:t>Q #</w:t>
            </w:r>
          </w:p>
        </w:tc>
        <w:tc>
          <w:tcPr>
            <w:tcW w:w="1673" w:type="dxa"/>
            <w:shd w:val="clear" w:color="auto" w:fill="44546A" w:themeFill="text2"/>
          </w:tcPr>
          <w:p w14:paraId="44760BE9" w14:textId="77777777" w:rsidR="00564223" w:rsidRPr="002742DB" w:rsidRDefault="00564223" w:rsidP="0097193C">
            <w:pPr>
              <w:rPr>
                <w:color w:val="FFFFFF" w:themeColor="background1"/>
              </w:rPr>
            </w:pPr>
            <w:r w:rsidRPr="002742DB">
              <w:rPr>
                <w:color w:val="FFFFFF" w:themeColor="background1"/>
              </w:rPr>
              <w:t>RFP / Appendix # and Section #</w:t>
            </w:r>
          </w:p>
        </w:tc>
        <w:tc>
          <w:tcPr>
            <w:tcW w:w="1095" w:type="dxa"/>
            <w:shd w:val="clear" w:color="auto" w:fill="44546A" w:themeFill="text2"/>
          </w:tcPr>
          <w:p w14:paraId="7FB3C5BA" w14:textId="77777777" w:rsidR="00564223" w:rsidRPr="002742DB" w:rsidRDefault="00564223" w:rsidP="0097193C">
            <w:pPr>
              <w:jc w:val="center"/>
              <w:rPr>
                <w:color w:val="FFFFFF" w:themeColor="background1"/>
              </w:rPr>
            </w:pPr>
            <w:r w:rsidRPr="002742DB">
              <w:rPr>
                <w:color w:val="FFFFFF" w:themeColor="background1"/>
              </w:rPr>
              <w:t>RFP Page</w:t>
            </w:r>
          </w:p>
        </w:tc>
        <w:tc>
          <w:tcPr>
            <w:tcW w:w="3676" w:type="dxa"/>
            <w:shd w:val="clear" w:color="auto" w:fill="44546A" w:themeFill="text2"/>
          </w:tcPr>
          <w:p w14:paraId="2EB579D7" w14:textId="77777777" w:rsidR="00564223" w:rsidRPr="002742DB" w:rsidRDefault="00564223" w:rsidP="0097193C">
            <w:pPr>
              <w:jc w:val="center"/>
              <w:rPr>
                <w:color w:val="FFFFFF" w:themeColor="background1"/>
              </w:rPr>
            </w:pPr>
            <w:r w:rsidRPr="002742DB">
              <w:rPr>
                <w:color w:val="FFFFFF" w:themeColor="background1"/>
              </w:rPr>
              <w:t>Question/Rationale</w:t>
            </w:r>
          </w:p>
        </w:tc>
        <w:tc>
          <w:tcPr>
            <w:tcW w:w="3214" w:type="dxa"/>
            <w:shd w:val="clear" w:color="auto" w:fill="44546A" w:themeFill="text2"/>
          </w:tcPr>
          <w:p w14:paraId="030FFDF5" w14:textId="77777777" w:rsidR="00564223" w:rsidRPr="002742DB" w:rsidRDefault="00564223" w:rsidP="0097193C">
            <w:pPr>
              <w:jc w:val="center"/>
              <w:rPr>
                <w:color w:val="FFFFFF" w:themeColor="background1"/>
              </w:rPr>
            </w:pPr>
            <w:r w:rsidRPr="002742DB">
              <w:rPr>
                <w:color w:val="FFFFFF" w:themeColor="background1"/>
              </w:rPr>
              <w:t>Department Answer</w:t>
            </w:r>
          </w:p>
        </w:tc>
      </w:tr>
      <w:tr w:rsidR="00564223" w14:paraId="677B8FA0" w14:textId="77777777" w:rsidTr="0097193C">
        <w:tc>
          <w:tcPr>
            <w:tcW w:w="602" w:type="dxa"/>
            <w:shd w:val="clear" w:color="auto" w:fill="E7E6E6" w:themeFill="background2"/>
          </w:tcPr>
          <w:p w14:paraId="4A170801" w14:textId="77777777" w:rsidR="00564223" w:rsidRPr="00564223" w:rsidRDefault="00564223" w:rsidP="0097193C">
            <w:pPr>
              <w:jc w:val="both"/>
              <w:rPr>
                <w:sz w:val="20"/>
                <w:szCs w:val="20"/>
              </w:rPr>
            </w:pPr>
            <w:r w:rsidRPr="00564223">
              <w:rPr>
                <w:sz w:val="20"/>
                <w:szCs w:val="20"/>
              </w:rPr>
              <w:t>Q1</w:t>
            </w:r>
          </w:p>
        </w:tc>
        <w:tc>
          <w:tcPr>
            <w:tcW w:w="1673" w:type="dxa"/>
            <w:shd w:val="clear" w:color="auto" w:fill="E7E6E6" w:themeFill="background2"/>
          </w:tcPr>
          <w:p w14:paraId="709AECFF" w14:textId="77777777" w:rsidR="00564223" w:rsidRPr="00564223" w:rsidRDefault="00564223" w:rsidP="0097193C">
            <w:pPr>
              <w:rPr>
                <w:sz w:val="20"/>
                <w:szCs w:val="20"/>
              </w:rPr>
            </w:pPr>
            <w:r w:rsidRPr="00564223">
              <w:rPr>
                <w:sz w:val="20"/>
                <w:szCs w:val="20"/>
              </w:rPr>
              <w:t>General Question</w:t>
            </w:r>
          </w:p>
        </w:tc>
        <w:tc>
          <w:tcPr>
            <w:tcW w:w="1095" w:type="dxa"/>
            <w:shd w:val="clear" w:color="auto" w:fill="E7E6E6" w:themeFill="background2"/>
          </w:tcPr>
          <w:p w14:paraId="0282DC4A" w14:textId="77777777" w:rsidR="00564223" w:rsidRPr="00564223" w:rsidRDefault="00564223" w:rsidP="0097193C">
            <w:pPr>
              <w:ind w:right="62"/>
              <w:rPr>
                <w:sz w:val="20"/>
                <w:szCs w:val="20"/>
              </w:rPr>
            </w:pPr>
          </w:p>
        </w:tc>
        <w:tc>
          <w:tcPr>
            <w:tcW w:w="3676" w:type="dxa"/>
            <w:shd w:val="clear" w:color="auto" w:fill="E7E6E6" w:themeFill="background2"/>
          </w:tcPr>
          <w:p w14:paraId="7149BADA" w14:textId="77777777" w:rsidR="00564223" w:rsidRPr="00564223" w:rsidRDefault="00564223" w:rsidP="0097193C">
            <w:pPr>
              <w:rPr>
                <w:rStyle w:val="ui-provider"/>
                <w:sz w:val="20"/>
                <w:szCs w:val="20"/>
              </w:rPr>
            </w:pPr>
            <w:r w:rsidRPr="00564223">
              <w:rPr>
                <w:sz w:val="20"/>
                <w:szCs w:val="20"/>
              </w:rPr>
              <w:t>We understand ETF offers both a Medicare Advantage and Medicare Plus (Supplement or Medigap) plans. Is it preferred that ETF have the same vendor/carrier for both plans or please confirm if ETF will consider an award of vendor/carrier X for Medicare Advantage and vendor/carrier Y for Medicare Plus.</w:t>
            </w:r>
          </w:p>
        </w:tc>
        <w:tc>
          <w:tcPr>
            <w:tcW w:w="3214" w:type="dxa"/>
            <w:shd w:val="clear" w:color="auto" w:fill="E7E6E6" w:themeFill="background2"/>
          </w:tcPr>
          <w:p w14:paraId="34923156" w14:textId="77777777" w:rsidR="00564223" w:rsidRPr="00564223" w:rsidRDefault="00564223" w:rsidP="0097193C">
            <w:pPr>
              <w:rPr>
                <w:sz w:val="20"/>
                <w:szCs w:val="20"/>
              </w:rPr>
            </w:pPr>
            <w:r w:rsidRPr="00564223">
              <w:rPr>
                <w:sz w:val="20"/>
                <w:szCs w:val="20"/>
              </w:rPr>
              <w:t xml:space="preserve">ETF will consider awards under each RFP (Medicare Advantage and Medicare Plus); awards may be to different vendors. Per RFP Section 1: </w:t>
            </w:r>
            <w:r w:rsidRPr="00564223">
              <w:rPr>
                <w:i/>
                <w:iCs/>
                <w:sz w:val="20"/>
                <w:szCs w:val="20"/>
              </w:rPr>
              <w:t xml:space="preserve">“Vendors may submit a Proposal for one or both of the RFPs.”   </w:t>
            </w:r>
          </w:p>
        </w:tc>
      </w:tr>
      <w:tr w:rsidR="00564223" w14:paraId="33FD1FBB" w14:textId="77777777" w:rsidTr="0097193C">
        <w:tc>
          <w:tcPr>
            <w:tcW w:w="602" w:type="dxa"/>
            <w:shd w:val="clear" w:color="auto" w:fill="D5DCE4" w:themeFill="text2" w:themeFillTint="33"/>
          </w:tcPr>
          <w:p w14:paraId="0A41CFBC" w14:textId="77777777" w:rsidR="00564223" w:rsidRPr="00564223" w:rsidRDefault="00564223" w:rsidP="0097193C">
            <w:pPr>
              <w:jc w:val="both"/>
              <w:rPr>
                <w:sz w:val="20"/>
                <w:szCs w:val="20"/>
              </w:rPr>
            </w:pPr>
            <w:r w:rsidRPr="00564223">
              <w:rPr>
                <w:sz w:val="20"/>
                <w:szCs w:val="20"/>
              </w:rPr>
              <w:t>Q2</w:t>
            </w:r>
          </w:p>
        </w:tc>
        <w:tc>
          <w:tcPr>
            <w:tcW w:w="1673" w:type="dxa"/>
            <w:shd w:val="clear" w:color="auto" w:fill="D5DCE4" w:themeFill="text2" w:themeFillTint="33"/>
          </w:tcPr>
          <w:p w14:paraId="19CB1446" w14:textId="77777777" w:rsidR="00564223" w:rsidRPr="00564223" w:rsidRDefault="00564223" w:rsidP="0097193C">
            <w:pPr>
              <w:rPr>
                <w:sz w:val="20"/>
                <w:szCs w:val="20"/>
              </w:rPr>
            </w:pPr>
            <w:r w:rsidRPr="00564223">
              <w:rPr>
                <w:sz w:val="20"/>
                <w:szCs w:val="20"/>
              </w:rPr>
              <w:t>General Question</w:t>
            </w:r>
          </w:p>
        </w:tc>
        <w:tc>
          <w:tcPr>
            <w:tcW w:w="1095" w:type="dxa"/>
            <w:shd w:val="clear" w:color="auto" w:fill="D5DCE4" w:themeFill="text2" w:themeFillTint="33"/>
          </w:tcPr>
          <w:p w14:paraId="1ED58504" w14:textId="77777777" w:rsidR="00564223" w:rsidRPr="00564223" w:rsidRDefault="00564223" w:rsidP="0097193C">
            <w:pPr>
              <w:jc w:val="both"/>
              <w:rPr>
                <w:sz w:val="20"/>
                <w:szCs w:val="20"/>
              </w:rPr>
            </w:pPr>
          </w:p>
        </w:tc>
        <w:tc>
          <w:tcPr>
            <w:tcW w:w="3676" w:type="dxa"/>
            <w:shd w:val="clear" w:color="auto" w:fill="D5DCE4" w:themeFill="text2" w:themeFillTint="33"/>
          </w:tcPr>
          <w:p w14:paraId="005CBE27" w14:textId="77777777" w:rsidR="00564223" w:rsidRPr="00564223" w:rsidRDefault="00564223" w:rsidP="0097193C">
            <w:pPr>
              <w:rPr>
                <w:sz w:val="20"/>
                <w:szCs w:val="20"/>
              </w:rPr>
            </w:pPr>
            <w:r w:rsidRPr="00564223">
              <w:rPr>
                <w:sz w:val="20"/>
                <w:szCs w:val="20"/>
              </w:rPr>
              <w:t xml:space="preserve">Related to the above, is ETF considering multiple </w:t>
            </w:r>
            <w:proofErr w:type="spellStart"/>
            <w:r w:rsidRPr="00564223">
              <w:rPr>
                <w:sz w:val="20"/>
                <w:szCs w:val="20"/>
              </w:rPr>
              <w:t>MAPD</w:t>
            </w:r>
            <w:proofErr w:type="spellEnd"/>
            <w:r w:rsidRPr="00564223">
              <w:rPr>
                <w:sz w:val="20"/>
                <w:szCs w:val="20"/>
              </w:rPr>
              <w:t xml:space="preserve"> PPO carriers available to retirees or is the strategy to only have 1 </w:t>
            </w:r>
            <w:proofErr w:type="spellStart"/>
            <w:r w:rsidRPr="00564223">
              <w:rPr>
                <w:sz w:val="20"/>
                <w:szCs w:val="20"/>
              </w:rPr>
              <w:t>MAPD</w:t>
            </w:r>
            <w:proofErr w:type="spellEnd"/>
            <w:r w:rsidRPr="00564223">
              <w:rPr>
                <w:sz w:val="20"/>
                <w:szCs w:val="20"/>
              </w:rPr>
              <w:t xml:space="preserve"> PPO carrier offered?</w:t>
            </w:r>
          </w:p>
        </w:tc>
        <w:tc>
          <w:tcPr>
            <w:tcW w:w="3214" w:type="dxa"/>
            <w:shd w:val="clear" w:color="auto" w:fill="D5DCE4" w:themeFill="text2" w:themeFillTint="33"/>
          </w:tcPr>
          <w:p w14:paraId="00F78D87" w14:textId="77777777" w:rsidR="00564223" w:rsidRPr="00564223" w:rsidRDefault="00564223" w:rsidP="0097193C">
            <w:pPr>
              <w:rPr>
                <w:sz w:val="20"/>
                <w:szCs w:val="20"/>
              </w:rPr>
            </w:pPr>
            <w:r w:rsidRPr="00564223">
              <w:rPr>
                <w:sz w:val="20"/>
                <w:szCs w:val="20"/>
              </w:rPr>
              <w:t xml:space="preserve">ETF is considering multiple Medicare Advantage and Medicare Plus vendors. Navitus Health Solutions will offer the EGWP plan. </w:t>
            </w:r>
          </w:p>
        </w:tc>
      </w:tr>
      <w:tr w:rsidR="00564223" w14:paraId="0B78FB59" w14:textId="77777777" w:rsidTr="0097193C">
        <w:tc>
          <w:tcPr>
            <w:tcW w:w="602" w:type="dxa"/>
            <w:shd w:val="clear" w:color="auto" w:fill="E7E6E6" w:themeFill="background2"/>
          </w:tcPr>
          <w:p w14:paraId="10B706D1" w14:textId="77777777" w:rsidR="00564223" w:rsidRPr="00564223" w:rsidRDefault="00564223" w:rsidP="0097193C">
            <w:pPr>
              <w:jc w:val="both"/>
              <w:rPr>
                <w:sz w:val="20"/>
                <w:szCs w:val="20"/>
              </w:rPr>
            </w:pPr>
            <w:proofErr w:type="spellStart"/>
            <w:r w:rsidRPr="00564223">
              <w:rPr>
                <w:sz w:val="20"/>
                <w:szCs w:val="20"/>
              </w:rPr>
              <w:lastRenderedPageBreak/>
              <w:t>Q3</w:t>
            </w:r>
            <w:proofErr w:type="spellEnd"/>
          </w:p>
        </w:tc>
        <w:tc>
          <w:tcPr>
            <w:tcW w:w="1673" w:type="dxa"/>
            <w:shd w:val="clear" w:color="auto" w:fill="E7E6E6" w:themeFill="background2"/>
          </w:tcPr>
          <w:p w14:paraId="588D295C" w14:textId="77777777" w:rsidR="00564223" w:rsidRPr="00564223" w:rsidRDefault="00564223" w:rsidP="0097193C">
            <w:pPr>
              <w:rPr>
                <w:sz w:val="20"/>
                <w:szCs w:val="20"/>
              </w:rPr>
            </w:pPr>
            <w:r w:rsidRPr="00564223">
              <w:rPr>
                <w:sz w:val="20"/>
                <w:szCs w:val="20"/>
              </w:rPr>
              <w:t>General Question</w:t>
            </w:r>
          </w:p>
        </w:tc>
        <w:tc>
          <w:tcPr>
            <w:tcW w:w="1095" w:type="dxa"/>
            <w:shd w:val="clear" w:color="auto" w:fill="E7E6E6" w:themeFill="background2"/>
          </w:tcPr>
          <w:p w14:paraId="3A78996C" w14:textId="77777777" w:rsidR="00564223" w:rsidRPr="00564223" w:rsidRDefault="00564223" w:rsidP="0097193C">
            <w:pPr>
              <w:jc w:val="both"/>
              <w:rPr>
                <w:sz w:val="20"/>
                <w:szCs w:val="20"/>
              </w:rPr>
            </w:pPr>
          </w:p>
        </w:tc>
        <w:tc>
          <w:tcPr>
            <w:tcW w:w="3676" w:type="dxa"/>
            <w:shd w:val="clear" w:color="auto" w:fill="E7E6E6" w:themeFill="background2"/>
          </w:tcPr>
          <w:p w14:paraId="3FA28665" w14:textId="77777777" w:rsidR="00564223" w:rsidRPr="00564223" w:rsidRDefault="00564223" w:rsidP="0097193C">
            <w:pPr>
              <w:rPr>
                <w:sz w:val="20"/>
                <w:szCs w:val="20"/>
              </w:rPr>
            </w:pPr>
            <w:r w:rsidRPr="00564223">
              <w:rPr>
                <w:sz w:val="20"/>
                <w:szCs w:val="20"/>
              </w:rPr>
              <w:t>Please indicate whether retirees are allowed to come back on the plan if they have previously opted out of the employer sponsored plan.</w:t>
            </w:r>
          </w:p>
        </w:tc>
        <w:tc>
          <w:tcPr>
            <w:tcW w:w="3214" w:type="dxa"/>
            <w:shd w:val="clear" w:color="auto" w:fill="E7E6E6" w:themeFill="background2"/>
          </w:tcPr>
          <w:p w14:paraId="590AB971" w14:textId="77777777" w:rsidR="00564223" w:rsidRPr="00564223" w:rsidRDefault="00564223" w:rsidP="0097193C">
            <w:pPr>
              <w:rPr>
                <w:sz w:val="20"/>
                <w:szCs w:val="20"/>
              </w:rPr>
            </w:pPr>
            <w:r w:rsidRPr="00564223">
              <w:rPr>
                <w:sz w:val="20"/>
                <w:szCs w:val="20"/>
              </w:rPr>
              <w:t xml:space="preserve">The rules for reenrollment for retirees if they terminate coverage varies, based upon their status at retirement. Certain retirees are eligible to reenroll if they cancel coverage. ETF determines eligibility. </w:t>
            </w:r>
          </w:p>
        </w:tc>
      </w:tr>
      <w:tr w:rsidR="00564223" w14:paraId="579F8E42" w14:textId="77777777" w:rsidTr="0097193C">
        <w:tc>
          <w:tcPr>
            <w:tcW w:w="602" w:type="dxa"/>
            <w:shd w:val="clear" w:color="auto" w:fill="D5DCE4" w:themeFill="text2" w:themeFillTint="33"/>
          </w:tcPr>
          <w:p w14:paraId="3B4F29E6" w14:textId="77777777" w:rsidR="00564223" w:rsidRPr="00564223" w:rsidRDefault="00564223" w:rsidP="0097193C">
            <w:pPr>
              <w:jc w:val="both"/>
              <w:rPr>
                <w:sz w:val="20"/>
                <w:szCs w:val="20"/>
              </w:rPr>
            </w:pPr>
            <w:proofErr w:type="spellStart"/>
            <w:r w:rsidRPr="00564223">
              <w:rPr>
                <w:sz w:val="20"/>
                <w:szCs w:val="20"/>
              </w:rPr>
              <w:t>Q4</w:t>
            </w:r>
            <w:proofErr w:type="spellEnd"/>
          </w:p>
        </w:tc>
        <w:tc>
          <w:tcPr>
            <w:tcW w:w="1673" w:type="dxa"/>
            <w:shd w:val="clear" w:color="auto" w:fill="D5DCE4" w:themeFill="text2" w:themeFillTint="33"/>
          </w:tcPr>
          <w:p w14:paraId="6707289B" w14:textId="77777777" w:rsidR="00564223" w:rsidRPr="00564223" w:rsidRDefault="00564223" w:rsidP="0097193C">
            <w:pPr>
              <w:rPr>
                <w:sz w:val="20"/>
                <w:szCs w:val="20"/>
              </w:rPr>
            </w:pPr>
            <w:r w:rsidRPr="00564223">
              <w:rPr>
                <w:sz w:val="20"/>
                <w:szCs w:val="20"/>
              </w:rPr>
              <w:t>General Question</w:t>
            </w:r>
          </w:p>
        </w:tc>
        <w:tc>
          <w:tcPr>
            <w:tcW w:w="1095" w:type="dxa"/>
            <w:shd w:val="clear" w:color="auto" w:fill="D5DCE4" w:themeFill="text2" w:themeFillTint="33"/>
          </w:tcPr>
          <w:p w14:paraId="18ADAA29" w14:textId="77777777" w:rsidR="00564223" w:rsidRPr="00564223" w:rsidRDefault="00564223" w:rsidP="0097193C">
            <w:pPr>
              <w:jc w:val="both"/>
              <w:rPr>
                <w:sz w:val="20"/>
                <w:szCs w:val="20"/>
              </w:rPr>
            </w:pPr>
          </w:p>
        </w:tc>
        <w:tc>
          <w:tcPr>
            <w:tcW w:w="3676" w:type="dxa"/>
            <w:shd w:val="clear" w:color="auto" w:fill="D5DCE4" w:themeFill="text2" w:themeFillTint="33"/>
          </w:tcPr>
          <w:p w14:paraId="5965B74B" w14:textId="77777777" w:rsidR="00564223" w:rsidRPr="00564223" w:rsidRDefault="00564223" w:rsidP="0097193C">
            <w:pPr>
              <w:rPr>
                <w:sz w:val="20"/>
                <w:szCs w:val="20"/>
              </w:rPr>
            </w:pPr>
            <w:r w:rsidRPr="00564223">
              <w:rPr>
                <w:sz w:val="20"/>
                <w:szCs w:val="20"/>
              </w:rPr>
              <w:t>Please indicate if the population is a closed group with no newly retired members eligible to join.</w:t>
            </w:r>
          </w:p>
        </w:tc>
        <w:tc>
          <w:tcPr>
            <w:tcW w:w="3214" w:type="dxa"/>
            <w:shd w:val="clear" w:color="auto" w:fill="D5DCE4" w:themeFill="text2" w:themeFillTint="33"/>
          </w:tcPr>
          <w:p w14:paraId="2E358E44" w14:textId="77777777" w:rsidR="00564223" w:rsidRPr="00564223" w:rsidRDefault="00564223" w:rsidP="0097193C">
            <w:pPr>
              <w:rPr>
                <w:sz w:val="20"/>
                <w:szCs w:val="20"/>
              </w:rPr>
            </w:pPr>
            <w:r w:rsidRPr="00564223">
              <w:rPr>
                <w:sz w:val="20"/>
                <w:szCs w:val="20"/>
              </w:rPr>
              <w:t xml:space="preserve">Newly retired members are eligible to join the population. It is not a closed group. </w:t>
            </w:r>
          </w:p>
        </w:tc>
      </w:tr>
      <w:tr w:rsidR="00564223" w14:paraId="173EB745" w14:textId="77777777" w:rsidTr="0097193C">
        <w:tc>
          <w:tcPr>
            <w:tcW w:w="602" w:type="dxa"/>
            <w:shd w:val="clear" w:color="auto" w:fill="E7E6E6" w:themeFill="background2"/>
          </w:tcPr>
          <w:p w14:paraId="1F2165BA" w14:textId="77777777" w:rsidR="00564223" w:rsidRPr="00564223" w:rsidRDefault="00564223" w:rsidP="0097193C">
            <w:pPr>
              <w:jc w:val="both"/>
              <w:rPr>
                <w:sz w:val="20"/>
                <w:szCs w:val="20"/>
              </w:rPr>
            </w:pPr>
            <w:proofErr w:type="spellStart"/>
            <w:r w:rsidRPr="00564223">
              <w:rPr>
                <w:sz w:val="20"/>
                <w:szCs w:val="20"/>
              </w:rPr>
              <w:t>Q5</w:t>
            </w:r>
            <w:proofErr w:type="spellEnd"/>
          </w:p>
        </w:tc>
        <w:tc>
          <w:tcPr>
            <w:tcW w:w="1673" w:type="dxa"/>
            <w:shd w:val="clear" w:color="auto" w:fill="E7E6E6" w:themeFill="background2"/>
          </w:tcPr>
          <w:p w14:paraId="5F484BB0" w14:textId="77777777" w:rsidR="00564223" w:rsidRPr="00564223" w:rsidRDefault="00564223" w:rsidP="0097193C">
            <w:pPr>
              <w:rPr>
                <w:sz w:val="20"/>
                <w:szCs w:val="20"/>
              </w:rPr>
            </w:pPr>
            <w:r w:rsidRPr="00564223">
              <w:rPr>
                <w:sz w:val="20"/>
                <w:szCs w:val="20"/>
              </w:rPr>
              <w:t>General Question</w:t>
            </w:r>
          </w:p>
        </w:tc>
        <w:tc>
          <w:tcPr>
            <w:tcW w:w="1095" w:type="dxa"/>
            <w:shd w:val="clear" w:color="auto" w:fill="E7E6E6" w:themeFill="background2"/>
          </w:tcPr>
          <w:p w14:paraId="738C84D6" w14:textId="77777777" w:rsidR="00564223" w:rsidRPr="00564223" w:rsidRDefault="00564223" w:rsidP="0097193C">
            <w:pPr>
              <w:jc w:val="both"/>
              <w:rPr>
                <w:sz w:val="20"/>
                <w:szCs w:val="20"/>
              </w:rPr>
            </w:pPr>
          </w:p>
        </w:tc>
        <w:tc>
          <w:tcPr>
            <w:tcW w:w="3676" w:type="dxa"/>
            <w:shd w:val="clear" w:color="auto" w:fill="E7E6E6" w:themeFill="background2"/>
          </w:tcPr>
          <w:p w14:paraId="70D10724" w14:textId="77777777" w:rsidR="00564223" w:rsidRPr="00564223" w:rsidRDefault="00564223" w:rsidP="0097193C">
            <w:pPr>
              <w:rPr>
                <w:sz w:val="20"/>
                <w:szCs w:val="20"/>
              </w:rPr>
            </w:pPr>
            <w:r w:rsidRPr="00564223">
              <w:rPr>
                <w:sz w:val="20"/>
                <w:szCs w:val="20"/>
              </w:rPr>
              <w:t xml:space="preserve">Please provide the premiums paid for the </w:t>
            </w:r>
            <w:proofErr w:type="spellStart"/>
            <w:r w:rsidRPr="00564223">
              <w:rPr>
                <w:sz w:val="20"/>
                <w:szCs w:val="20"/>
              </w:rPr>
              <w:t>MAPD</w:t>
            </w:r>
            <w:proofErr w:type="spellEnd"/>
            <w:r w:rsidRPr="00564223">
              <w:rPr>
                <w:sz w:val="20"/>
                <w:szCs w:val="20"/>
              </w:rPr>
              <w:t xml:space="preserve"> PPO and HMO plans in 2023 and 2024.</w:t>
            </w:r>
          </w:p>
        </w:tc>
        <w:tc>
          <w:tcPr>
            <w:tcW w:w="3214" w:type="dxa"/>
            <w:shd w:val="clear" w:color="auto" w:fill="E7E6E6" w:themeFill="background2"/>
          </w:tcPr>
          <w:p w14:paraId="1E0BE498" w14:textId="77777777" w:rsidR="00564223" w:rsidRPr="00564223" w:rsidRDefault="00564223" w:rsidP="0097193C">
            <w:pPr>
              <w:rPr>
                <w:sz w:val="20"/>
                <w:szCs w:val="20"/>
              </w:rPr>
            </w:pPr>
            <w:r w:rsidRPr="00564223">
              <w:rPr>
                <w:sz w:val="20"/>
                <w:szCs w:val="20"/>
              </w:rPr>
              <w:t>MA Passive PPO (medical only) individual rates for State and Local:</w:t>
            </w:r>
          </w:p>
          <w:p w14:paraId="494D6014" w14:textId="77777777" w:rsidR="00564223" w:rsidRPr="00564223" w:rsidRDefault="00564223" w:rsidP="0097193C">
            <w:pPr>
              <w:jc w:val="both"/>
              <w:rPr>
                <w:sz w:val="20"/>
                <w:szCs w:val="20"/>
              </w:rPr>
            </w:pPr>
            <w:r w:rsidRPr="00564223">
              <w:rPr>
                <w:sz w:val="20"/>
                <w:szCs w:val="20"/>
              </w:rPr>
              <w:t>2024: $75.58</w:t>
            </w:r>
          </w:p>
          <w:p w14:paraId="386BB655" w14:textId="77777777" w:rsidR="00564223" w:rsidRPr="00564223" w:rsidRDefault="00564223" w:rsidP="0097193C">
            <w:pPr>
              <w:jc w:val="both"/>
              <w:rPr>
                <w:sz w:val="20"/>
                <w:szCs w:val="20"/>
              </w:rPr>
            </w:pPr>
            <w:r w:rsidRPr="00564223">
              <w:rPr>
                <w:sz w:val="20"/>
                <w:szCs w:val="20"/>
              </w:rPr>
              <w:t>2023: $60.58</w:t>
            </w:r>
          </w:p>
        </w:tc>
      </w:tr>
      <w:tr w:rsidR="00564223" w14:paraId="1CAE8740" w14:textId="77777777" w:rsidTr="0097193C">
        <w:trPr>
          <w:trHeight w:val="557"/>
        </w:trPr>
        <w:tc>
          <w:tcPr>
            <w:tcW w:w="602" w:type="dxa"/>
            <w:shd w:val="clear" w:color="auto" w:fill="D5DCE4" w:themeFill="text2" w:themeFillTint="33"/>
          </w:tcPr>
          <w:p w14:paraId="5C09841E" w14:textId="77777777" w:rsidR="00564223" w:rsidRPr="00564223" w:rsidRDefault="00564223" w:rsidP="0097193C">
            <w:pPr>
              <w:jc w:val="both"/>
              <w:rPr>
                <w:sz w:val="20"/>
                <w:szCs w:val="20"/>
              </w:rPr>
            </w:pPr>
            <w:proofErr w:type="spellStart"/>
            <w:r w:rsidRPr="00564223">
              <w:rPr>
                <w:sz w:val="20"/>
                <w:szCs w:val="20"/>
              </w:rPr>
              <w:t>Q6</w:t>
            </w:r>
            <w:proofErr w:type="spellEnd"/>
          </w:p>
        </w:tc>
        <w:tc>
          <w:tcPr>
            <w:tcW w:w="1673" w:type="dxa"/>
            <w:shd w:val="clear" w:color="auto" w:fill="D5DCE4" w:themeFill="text2" w:themeFillTint="33"/>
          </w:tcPr>
          <w:p w14:paraId="741E599F" w14:textId="77777777" w:rsidR="00564223" w:rsidRPr="00564223" w:rsidRDefault="00564223" w:rsidP="0097193C">
            <w:pPr>
              <w:rPr>
                <w:sz w:val="20"/>
                <w:szCs w:val="20"/>
              </w:rPr>
            </w:pPr>
            <w:r w:rsidRPr="00564223">
              <w:rPr>
                <w:sz w:val="20"/>
                <w:szCs w:val="20"/>
              </w:rPr>
              <w:t>General Question</w:t>
            </w:r>
          </w:p>
        </w:tc>
        <w:tc>
          <w:tcPr>
            <w:tcW w:w="1095" w:type="dxa"/>
            <w:shd w:val="clear" w:color="auto" w:fill="D5DCE4" w:themeFill="text2" w:themeFillTint="33"/>
          </w:tcPr>
          <w:p w14:paraId="4B612A16" w14:textId="77777777" w:rsidR="00564223" w:rsidRPr="00564223" w:rsidRDefault="00564223" w:rsidP="0097193C">
            <w:pPr>
              <w:jc w:val="both"/>
              <w:rPr>
                <w:sz w:val="20"/>
                <w:szCs w:val="20"/>
              </w:rPr>
            </w:pPr>
          </w:p>
        </w:tc>
        <w:tc>
          <w:tcPr>
            <w:tcW w:w="3676" w:type="dxa"/>
            <w:shd w:val="clear" w:color="auto" w:fill="D5DCE4" w:themeFill="text2" w:themeFillTint="33"/>
          </w:tcPr>
          <w:p w14:paraId="69987B9C" w14:textId="77777777" w:rsidR="00564223" w:rsidRPr="00564223" w:rsidRDefault="00564223" w:rsidP="0097193C">
            <w:pPr>
              <w:rPr>
                <w:sz w:val="20"/>
                <w:szCs w:val="20"/>
              </w:rPr>
            </w:pPr>
            <w:r w:rsidRPr="00564223">
              <w:rPr>
                <w:sz w:val="20"/>
                <w:szCs w:val="20"/>
              </w:rPr>
              <w:t>Does ETF have any onsite dedicated staff provided by the current carrier?</w:t>
            </w:r>
          </w:p>
        </w:tc>
        <w:tc>
          <w:tcPr>
            <w:tcW w:w="3214" w:type="dxa"/>
            <w:shd w:val="clear" w:color="auto" w:fill="D5DCE4" w:themeFill="text2" w:themeFillTint="33"/>
          </w:tcPr>
          <w:p w14:paraId="19CB05E9" w14:textId="77777777" w:rsidR="00564223" w:rsidRPr="00564223" w:rsidRDefault="00564223" w:rsidP="0097193C">
            <w:pPr>
              <w:rPr>
                <w:sz w:val="20"/>
                <w:szCs w:val="20"/>
              </w:rPr>
            </w:pPr>
            <w:r w:rsidRPr="00564223">
              <w:rPr>
                <w:sz w:val="20"/>
                <w:szCs w:val="20"/>
              </w:rPr>
              <w:t xml:space="preserve">Yes, there is one onsite dedicated staff person. </w:t>
            </w:r>
          </w:p>
        </w:tc>
      </w:tr>
      <w:tr w:rsidR="00564223" w14:paraId="75A61448" w14:textId="77777777" w:rsidTr="0097193C">
        <w:tc>
          <w:tcPr>
            <w:tcW w:w="602" w:type="dxa"/>
            <w:shd w:val="clear" w:color="auto" w:fill="E7E6E6" w:themeFill="background2"/>
          </w:tcPr>
          <w:p w14:paraId="6E87604A" w14:textId="77777777" w:rsidR="00564223" w:rsidRPr="00564223" w:rsidRDefault="00564223" w:rsidP="0097193C">
            <w:pPr>
              <w:jc w:val="both"/>
              <w:rPr>
                <w:sz w:val="20"/>
                <w:szCs w:val="20"/>
              </w:rPr>
            </w:pPr>
            <w:proofErr w:type="spellStart"/>
            <w:r w:rsidRPr="00564223">
              <w:rPr>
                <w:sz w:val="20"/>
                <w:szCs w:val="20"/>
              </w:rPr>
              <w:t>Q7</w:t>
            </w:r>
            <w:proofErr w:type="spellEnd"/>
          </w:p>
        </w:tc>
        <w:tc>
          <w:tcPr>
            <w:tcW w:w="1673" w:type="dxa"/>
            <w:shd w:val="clear" w:color="auto" w:fill="E7E6E6" w:themeFill="background2"/>
          </w:tcPr>
          <w:p w14:paraId="5A85E002" w14:textId="77777777" w:rsidR="00564223" w:rsidRPr="00564223" w:rsidRDefault="00564223" w:rsidP="0097193C">
            <w:pPr>
              <w:rPr>
                <w:sz w:val="20"/>
                <w:szCs w:val="20"/>
              </w:rPr>
            </w:pPr>
            <w:r w:rsidRPr="00564223">
              <w:rPr>
                <w:sz w:val="20"/>
                <w:szCs w:val="20"/>
              </w:rPr>
              <w:t>Section 8, Network Submission Requirements</w:t>
            </w:r>
          </w:p>
        </w:tc>
        <w:tc>
          <w:tcPr>
            <w:tcW w:w="1095" w:type="dxa"/>
            <w:shd w:val="clear" w:color="auto" w:fill="E7E6E6" w:themeFill="background2"/>
          </w:tcPr>
          <w:p w14:paraId="5CEF8092" w14:textId="77777777" w:rsidR="00564223" w:rsidRPr="00564223" w:rsidRDefault="00564223" w:rsidP="0097193C">
            <w:pPr>
              <w:jc w:val="both"/>
              <w:rPr>
                <w:sz w:val="20"/>
                <w:szCs w:val="20"/>
              </w:rPr>
            </w:pPr>
            <w:r w:rsidRPr="00564223">
              <w:rPr>
                <w:sz w:val="20"/>
                <w:szCs w:val="20"/>
              </w:rPr>
              <w:t>72</w:t>
            </w:r>
          </w:p>
        </w:tc>
        <w:tc>
          <w:tcPr>
            <w:tcW w:w="3676" w:type="dxa"/>
            <w:shd w:val="clear" w:color="auto" w:fill="E7E6E6" w:themeFill="background2"/>
          </w:tcPr>
          <w:p w14:paraId="6B2444B1" w14:textId="77777777" w:rsidR="00564223" w:rsidRPr="00564223" w:rsidRDefault="00564223" w:rsidP="0097193C">
            <w:pPr>
              <w:rPr>
                <w:sz w:val="20"/>
                <w:szCs w:val="20"/>
              </w:rPr>
            </w:pPr>
            <w:r w:rsidRPr="00564223">
              <w:rPr>
                <w:sz w:val="20"/>
                <w:szCs w:val="20"/>
              </w:rPr>
              <w:t>Please clarify if you would like the Network Questions returned in the Technical response or the Cost Proposal response.</w:t>
            </w:r>
          </w:p>
        </w:tc>
        <w:tc>
          <w:tcPr>
            <w:tcW w:w="3214" w:type="dxa"/>
            <w:shd w:val="clear" w:color="auto" w:fill="E7E6E6" w:themeFill="background2"/>
          </w:tcPr>
          <w:p w14:paraId="696C2A77" w14:textId="77777777" w:rsidR="00564223" w:rsidRPr="00564223" w:rsidRDefault="00564223" w:rsidP="0097193C">
            <w:pPr>
              <w:rPr>
                <w:sz w:val="20"/>
                <w:szCs w:val="20"/>
              </w:rPr>
            </w:pPr>
            <w:r w:rsidRPr="00564223">
              <w:rPr>
                <w:sz w:val="20"/>
                <w:szCs w:val="20"/>
              </w:rPr>
              <w:t xml:space="preserve">Responses to the network questions provided by Segal should be sent with vendors’ cost proposal responses (and sent to Segal). </w:t>
            </w:r>
          </w:p>
        </w:tc>
      </w:tr>
      <w:tr w:rsidR="00564223" w14:paraId="0EA54BE1" w14:textId="77777777" w:rsidTr="0097193C">
        <w:tc>
          <w:tcPr>
            <w:tcW w:w="602" w:type="dxa"/>
            <w:shd w:val="clear" w:color="auto" w:fill="D5DCE4" w:themeFill="text2" w:themeFillTint="33"/>
          </w:tcPr>
          <w:p w14:paraId="7F65146D" w14:textId="77777777" w:rsidR="00564223" w:rsidRPr="00564223" w:rsidRDefault="00564223" w:rsidP="0097193C">
            <w:pPr>
              <w:jc w:val="both"/>
              <w:rPr>
                <w:sz w:val="20"/>
                <w:szCs w:val="20"/>
              </w:rPr>
            </w:pPr>
            <w:proofErr w:type="spellStart"/>
            <w:r w:rsidRPr="00564223">
              <w:rPr>
                <w:sz w:val="20"/>
                <w:szCs w:val="20"/>
              </w:rPr>
              <w:t>Q8</w:t>
            </w:r>
            <w:proofErr w:type="spellEnd"/>
          </w:p>
        </w:tc>
        <w:tc>
          <w:tcPr>
            <w:tcW w:w="1673" w:type="dxa"/>
            <w:shd w:val="clear" w:color="auto" w:fill="D5DCE4" w:themeFill="text2" w:themeFillTint="33"/>
          </w:tcPr>
          <w:p w14:paraId="63CD869E" w14:textId="77777777" w:rsidR="00564223" w:rsidRPr="00564223" w:rsidRDefault="00564223" w:rsidP="0097193C">
            <w:pPr>
              <w:rPr>
                <w:sz w:val="20"/>
                <w:szCs w:val="20"/>
              </w:rPr>
            </w:pPr>
            <w:r w:rsidRPr="00564223">
              <w:rPr>
                <w:sz w:val="20"/>
                <w:szCs w:val="20"/>
              </w:rPr>
              <w:t>Section 7, Technical Questionnaire, 7.16 ETD0051 Medicare Plus Plan</w:t>
            </w:r>
          </w:p>
        </w:tc>
        <w:tc>
          <w:tcPr>
            <w:tcW w:w="1095" w:type="dxa"/>
            <w:shd w:val="clear" w:color="auto" w:fill="D5DCE4" w:themeFill="text2" w:themeFillTint="33"/>
          </w:tcPr>
          <w:p w14:paraId="5EB24053" w14:textId="77777777" w:rsidR="00564223" w:rsidRPr="00564223" w:rsidRDefault="00564223" w:rsidP="0097193C">
            <w:pPr>
              <w:rPr>
                <w:sz w:val="20"/>
                <w:szCs w:val="20"/>
              </w:rPr>
            </w:pPr>
            <w:r w:rsidRPr="00564223">
              <w:rPr>
                <w:sz w:val="20"/>
                <w:szCs w:val="20"/>
              </w:rPr>
              <w:t>69</w:t>
            </w:r>
          </w:p>
        </w:tc>
        <w:tc>
          <w:tcPr>
            <w:tcW w:w="3676" w:type="dxa"/>
            <w:shd w:val="clear" w:color="auto" w:fill="D5DCE4" w:themeFill="text2" w:themeFillTint="33"/>
          </w:tcPr>
          <w:p w14:paraId="775AA3B0" w14:textId="77777777" w:rsidR="00564223" w:rsidRPr="00564223" w:rsidRDefault="00564223" w:rsidP="0097193C">
            <w:pPr>
              <w:rPr>
                <w:sz w:val="20"/>
                <w:szCs w:val="20"/>
              </w:rPr>
            </w:pPr>
            <w:r w:rsidRPr="00564223">
              <w:rPr>
                <w:rStyle w:val="ui-provider"/>
                <w:sz w:val="20"/>
                <w:szCs w:val="20"/>
              </w:rPr>
              <w:t>For bidders only responding to MA or only to Medicare Plus Plan, please confirm is it acceptable to respond "Not applicable" to the questions specific to the plan not being proposed. </w:t>
            </w:r>
          </w:p>
        </w:tc>
        <w:tc>
          <w:tcPr>
            <w:tcW w:w="3214" w:type="dxa"/>
            <w:shd w:val="clear" w:color="auto" w:fill="D5DCE4" w:themeFill="text2" w:themeFillTint="33"/>
          </w:tcPr>
          <w:p w14:paraId="6B469A96" w14:textId="77777777" w:rsidR="00564223" w:rsidRPr="00564223" w:rsidRDefault="00564223" w:rsidP="0097193C">
            <w:pPr>
              <w:rPr>
                <w:sz w:val="20"/>
                <w:szCs w:val="20"/>
              </w:rPr>
            </w:pPr>
            <w:r w:rsidRPr="00564223">
              <w:rPr>
                <w:sz w:val="20"/>
                <w:szCs w:val="20"/>
              </w:rPr>
              <w:t xml:space="preserve">RFP sections applicable to both MA and M+, sections applicable to just MA, and sections applicable to just M+ are specified in the RFP. If you are only responding to one </w:t>
            </w:r>
            <w:proofErr w:type="gramStart"/>
            <w:r w:rsidRPr="00564223">
              <w:rPr>
                <w:sz w:val="20"/>
                <w:szCs w:val="20"/>
              </w:rPr>
              <w:t>RFP</w:t>
            </w:r>
            <w:proofErr w:type="gramEnd"/>
            <w:r w:rsidRPr="00564223">
              <w:rPr>
                <w:sz w:val="20"/>
                <w:szCs w:val="20"/>
              </w:rPr>
              <w:t xml:space="preserve"> we don’t expect you to reply “not applicable” to questions in the sections that don’t apply to the RFP you are providing a response for. </w:t>
            </w:r>
          </w:p>
        </w:tc>
      </w:tr>
      <w:tr w:rsidR="00564223" w14:paraId="05AAC4F6" w14:textId="77777777" w:rsidTr="0097193C">
        <w:tc>
          <w:tcPr>
            <w:tcW w:w="602" w:type="dxa"/>
            <w:shd w:val="clear" w:color="auto" w:fill="E7E6E6" w:themeFill="background2"/>
          </w:tcPr>
          <w:p w14:paraId="765CB30D" w14:textId="77777777" w:rsidR="00564223" w:rsidRPr="00564223" w:rsidRDefault="00564223" w:rsidP="0097193C">
            <w:pPr>
              <w:jc w:val="both"/>
              <w:rPr>
                <w:sz w:val="20"/>
                <w:szCs w:val="20"/>
              </w:rPr>
            </w:pPr>
            <w:bookmarkStart w:id="1" w:name="_Hlk163212643"/>
            <w:proofErr w:type="spellStart"/>
            <w:r w:rsidRPr="00564223">
              <w:rPr>
                <w:sz w:val="20"/>
                <w:szCs w:val="20"/>
              </w:rPr>
              <w:t>Q9</w:t>
            </w:r>
            <w:proofErr w:type="spellEnd"/>
          </w:p>
        </w:tc>
        <w:tc>
          <w:tcPr>
            <w:tcW w:w="1673" w:type="dxa"/>
            <w:shd w:val="clear" w:color="auto" w:fill="E7E6E6" w:themeFill="background2"/>
          </w:tcPr>
          <w:p w14:paraId="5D4E0264" w14:textId="77777777" w:rsidR="00564223" w:rsidRPr="00564223" w:rsidRDefault="00564223" w:rsidP="0097193C">
            <w:pPr>
              <w:rPr>
                <w:sz w:val="20"/>
                <w:szCs w:val="20"/>
              </w:rPr>
            </w:pPr>
            <w:r w:rsidRPr="00564223">
              <w:rPr>
                <w:sz w:val="20"/>
                <w:szCs w:val="20"/>
              </w:rPr>
              <w:t>WI ETF MA Financial Summary</w:t>
            </w:r>
          </w:p>
        </w:tc>
        <w:tc>
          <w:tcPr>
            <w:tcW w:w="1095" w:type="dxa"/>
            <w:shd w:val="clear" w:color="auto" w:fill="E7E6E6" w:themeFill="background2"/>
          </w:tcPr>
          <w:p w14:paraId="14BE9C29" w14:textId="77777777" w:rsidR="00564223" w:rsidRPr="00564223" w:rsidRDefault="00564223" w:rsidP="0097193C">
            <w:pPr>
              <w:rPr>
                <w:sz w:val="20"/>
                <w:szCs w:val="20"/>
              </w:rPr>
            </w:pPr>
          </w:p>
        </w:tc>
        <w:tc>
          <w:tcPr>
            <w:tcW w:w="3676" w:type="dxa"/>
            <w:shd w:val="clear" w:color="auto" w:fill="E7E6E6" w:themeFill="background2"/>
          </w:tcPr>
          <w:p w14:paraId="6F797E99" w14:textId="77777777" w:rsidR="00564223" w:rsidRPr="00564223" w:rsidRDefault="00564223" w:rsidP="0097193C">
            <w:pPr>
              <w:rPr>
                <w:sz w:val="20"/>
                <w:szCs w:val="20"/>
              </w:rPr>
            </w:pPr>
            <w:r w:rsidRPr="00564223">
              <w:rPr>
                <w:sz w:val="20"/>
                <w:szCs w:val="20"/>
              </w:rPr>
              <w:t xml:space="preserve">It is noted the claims are reflective of incurred dates, please indicate the “paid through” date.  </w:t>
            </w:r>
          </w:p>
        </w:tc>
        <w:tc>
          <w:tcPr>
            <w:tcW w:w="3214" w:type="dxa"/>
            <w:shd w:val="clear" w:color="auto" w:fill="E7E6E6" w:themeFill="background2"/>
          </w:tcPr>
          <w:p w14:paraId="22FAAC25" w14:textId="77777777" w:rsidR="00564223" w:rsidRPr="00564223" w:rsidRDefault="00564223" w:rsidP="0097193C">
            <w:pPr>
              <w:rPr>
                <w:color w:val="000000" w:themeColor="text1"/>
                <w:sz w:val="20"/>
                <w:szCs w:val="20"/>
              </w:rPr>
            </w:pPr>
            <w:r w:rsidRPr="00564223">
              <w:rPr>
                <w:color w:val="000000" w:themeColor="text1"/>
                <w:sz w:val="20"/>
                <w:szCs w:val="20"/>
              </w:rPr>
              <w:t xml:space="preserve">Not applicable. As indicated, in the file, </w:t>
            </w:r>
            <w:r w:rsidRPr="00564223">
              <w:rPr>
                <w:i/>
                <w:iCs/>
                <w:color w:val="000000" w:themeColor="text1"/>
                <w:sz w:val="20"/>
                <w:szCs w:val="20"/>
              </w:rPr>
              <w:t>WI ETF MA Financial Summary</w:t>
            </w:r>
            <w:r w:rsidRPr="00564223">
              <w:rPr>
                <w:color w:val="000000" w:themeColor="text1"/>
                <w:sz w:val="20"/>
                <w:szCs w:val="20"/>
              </w:rPr>
              <w:t xml:space="preserve">, in the individual secure workspace(s), Medical is based on service dates. Medical Claims include: All FFS and capitated provider claims including Part B Rx claims - with </w:t>
            </w:r>
            <w:proofErr w:type="spellStart"/>
            <w:r w:rsidRPr="00564223">
              <w:rPr>
                <w:color w:val="000000" w:themeColor="text1"/>
                <w:sz w:val="20"/>
                <w:szCs w:val="20"/>
              </w:rPr>
              <w:t>IBNR</w:t>
            </w:r>
            <w:proofErr w:type="spellEnd"/>
            <w:r w:rsidRPr="00564223">
              <w:rPr>
                <w:color w:val="000000" w:themeColor="text1"/>
                <w:sz w:val="20"/>
                <w:szCs w:val="20"/>
              </w:rPr>
              <w:t>.</w:t>
            </w:r>
          </w:p>
        </w:tc>
      </w:tr>
      <w:tr w:rsidR="00564223" w14:paraId="0DD15881" w14:textId="77777777" w:rsidTr="0097193C">
        <w:tc>
          <w:tcPr>
            <w:tcW w:w="602" w:type="dxa"/>
            <w:shd w:val="clear" w:color="auto" w:fill="D5DCE4" w:themeFill="text2" w:themeFillTint="33"/>
          </w:tcPr>
          <w:p w14:paraId="0352C9B8" w14:textId="77777777" w:rsidR="00564223" w:rsidRPr="00564223" w:rsidRDefault="00564223" w:rsidP="0097193C">
            <w:pPr>
              <w:jc w:val="both"/>
              <w:rPr>
                <w:sz w:val="20"/>
                <w:szCs w:val="20"/>
              </w:rPr>
            </w:pPr>
            <w:proofErr w:type="spellStart"/>
            <w:r w:rsidRPr="00564223">
              <w:rPr>
                <w:sz w:val="20"/>
                <w:szCs w:val="20"/>
              </w:rPr>
              <w:t>Q10</w:t>
            </w:r>
            <w:proofErr w:type="spellEnd"/>
          </w:p>
        </w:tc>
        <w:tc>
          <w:tcPr>
            <w:tcW w:w="1673" w:type="dxa"/>
            <w:shd w:val="clear" w:color="auto" w:fill="D5DCE4" w:themeFill="text2" w:themeFillTint="33"/>
          </w:tcPr>
          <w:p w14:paraId="1A113BBD" w14:textId="77777777" w:rsidR="00564223" w:rsidRPr="00564223" w:rsidRDefault="00564223" w:rsidP="0097193C">
            <w:pPr>
              <w:rPr>
                <w:sz w:val="20"/>
                <w:szCs w:val="20"/>
              </w:rPr>
            </w:pPr>
            <w:r w:rsidRPr="00564223">
              <w:rPr>
                <w:sz w:val="20"/>
                <w:szCs w:val="20"/>
              </w:rPr>
              <w:t>WI ETF MA Financial Summary</w:t>
            </w:r>
          </w:p>
        </w:tc>
        <w:tc>
          <w:tcPr>
            <w:tcW w:w="1095" w:type="dxa"/>
            <w:shd w:val="clear" w:color="auto" w:fill="D5DCE4" w:themeFill="text2" w:themeFillTint="33"/>
          </w:tcPr>
          <w:p w14:paraId="222D755D" w14:textId="77777777" w:rsidR="00564223" w:rsidRPr="00564223" w:rsidRDefault="00564223" w:rsidP="0097193C">
            <w:pPr>
              <w:rPr>
                <w:sz w:val="20"/>
                <w:szCs w:val="20"/>
              </w:rPr>
            </w:pPr>
          </w:p>
        </w:tc>
        <w:tc>
          <w:tcPr>
            <w:tcW w:w="3676" w:type="dxa"/>
            <w:shd w:val="clear" w:color="auto" w:fill="D5DCE4" w:themeFill="text2" w:themeFillTint="33"/>
          </w:tcPr>
          <w:p w14:paraId="44FC4800" w14:textId="77777777" w:rsidR="00564223" w:rsidRPr="00564223" w:rsidRDefault="00564223" w:rsidP="0097193C">
            <w:pPr>
              <w:rPr>
                <w:sz w:val="20"/>
                <w:szCs w:val="20"/>
              </w:rPr>
            </w:pPr>
            <w:r w:rsidRPr="00564223">
              <w:rPr>
                <w:sz w:val="20"/>
                <w:szCs w:val="20"/>
              </w:rPr>
              <w:t>Please provide the information below regarding the Part/A Avg Risk scores:</w:t>
            </w:r>
          </w:p>
          <w:p w14:paraId="1D631253" w14:textId="77777777" w:rsidR="00564223" w:rsidRPr="00564223" w:rsidRDefault="00564223" w:rsidP="00564223">
            <w:pPr>
              <w:pStyle w:val="ListParagraph"/>
              <w:numPr>
                <w:ilvl w:val="1"/>
                <w:numId w:val="7"/>
              </w:numPr>
              <w:spacing w:before="0" w:after="0"/>
              <w:ind w:left="246" w:hanging="270"/>
              <w:rPr>
                <w:rFonts w:ascii="Arial" w:hAnsi="Arial" w:cs="Arial"/>
                <w:sz w:val="20"/>
                <w:szCs w:val="20"/>
              </w:rPr>
            </w:pPr>
            <w:r w:rsidRPr="00564223">
              <w:rPr>
                <w:rFonts w:ascii="Arial" w:hAnsi="Arial" w:cs="Arial"/>
                <w:sz w:val="20"/>
                <w:szCs w:val="20"/>
              </w:rPr>
              <w:t>What time period does the risk score represent?</w:t>
            </w:r>
          </w:p>
          <w:p w14:paraId="7CC2CA52" w14:textId="77777777" w:rsidR="00564223" w:rsidRPr="00564223" w:rsidRDefault="00564223" w:rsidP="00564223">
            <w:pPr>
              <w:pStyle w:val="ListParagraph"/>
              <w:numPr>
                <w:ilvl w:val="1"/>
                <w:numId w:val="7"/>
              </w:numPr>
              <w:spacing w:before="0" w:after="0"/>
              <w:ind w:left="246" w:hanging="270"/>
              <w:rPr>
                <w:rFonts w:ascii="Arial" w:hAnsi="Arial" w:cs="Arial"/>
                <w:sz w:val="20"/>
                <w:szCs w:val="20"/>
              </w:rPr>
            </w:pPr>
            <w:r w:rsidRPr="00564223">
              <w:rPr>
                <w:rFonts w:ascii="Arial" w:hAnsi="Arial" w:cs="Arial"/>
                <w:sz w:val="20"/>
                <w:szCs w:val="20"/>
              </w:rPr>
              <w:t xml:space="preserve">Were the months prior to the mid-year adjustments/payments </w:t>
            </w:r>
            <w:r w:rsidRPr="00564223">
              <w:rPr>
                <w:rFonts w:ascii="Arial" w:hAnsi="Arial" w:cs="Arial"/>
                <w:sz w:val="20"/>
                <w:szCs w:val="20"/>
              </w:rPr>
              <w:lastRenderedPageBreak/>
              <w:t>(typically Jan-Jun/July) restated for the actual mid-year adjustment received?</w:t>
            </w:r>
          </w:p>
          <w:p w14:paraId="57D8B9A1" w14:textId="77777777" w:rsidR="00564223" w:rsidRPr="00564223" w:rsidRDefault="00564223" w:rsidP="00564223">
            <w:pPr>
              <w:pStyle w:val="ListParagraph"/>
              <w:numPr>
                <w:ilvl w:val="1"/>
                <w:numId w:val="7"/>
              </w:numPr>
              <w:spacing w:before="0" w:after="0"/>
              <w:ind w:left="246" w:hanging="270"/>
              <w:rPr>
                <w:rFonts w:ascii="Arial" w:hAnsi="Arial" w:cs="Arial"/>
                <w:sz w:val="20"/>
                <w:szCs w:val="20"/>
              </w:rPr>
            </w:pPr>
            <w:r w:rsidRPr="00564223">
              <w:rPr>
                <w:rFonts w:ascii="Arial" w:hAnsi="Arial" w:cs="Arial"/>
                <w:sz w:val="20"/>
                <w:szCs w:val="20"/>
              </w:rPr>
              <w:t>Were the actual paid mid-year CMS adjustments/payments removed from the Risk Scores in any way?</w:t>
            </w:r>
          </w:p>
          <w:p w14:paraId="3056297C" w14:textId="77777777" w:rsidR="00564223" w:rsidRPr="00564223" w:rsidRDefault="00564223" w:rsidP="00564223">
            <w:pPr>
              <w:pStyle w:val="ListParagraph"/>
              <w:numPr>
                <w:ilvl w:val="1"/>
                <w:numId w:val="7"/>
              </w:numPr>
              <w:spacing w:before="0" w:after="0"/>
              <w:ind w:left="246" w:hanging="270"/>
              <w:rPr>
                <w:rFonts w:ascii="Arial" w:hAnsi="Arial" w:cs="Arial"/>
                <w:sz w:val="20"/>
                <w:szCs w:val="20"/>
              </w:rPr>
            </w:pPr>
            <w:r w:rsidRPr="00564223">
              <w:rPr>
                <w:rFonts w:ascii="Arial" w:hAnsi="Arial" w:cs="Arial"/>
                <w:sz w:val="20"/>
                <w:szCs w:val="20"/>
              </w:rPr>
              <w:t>Were the actual paid final CMS adjustments/payments included in the Risk Scores provided?</w:t>
            </w:r>
          </w:p>
          <w:p w14:paraId="74824546" w14:textId="77777777" w:rsidR="00564223" w:rsidRPr="00564223" w:rsidRDefault="00564223" w:rsidP="00564223">
            <w:pPr>
              <w:pStyle w:val="ListParagraph"/>
              <w:numPr>
                <w:ilvl w:val="1"/>
                <w:numId w:val="7"/>
              </w:numPr>
              <w:spacing w:before="0" w:after="0"/>
              <w:ind w:left="246" w:hanging="270"/>
              <w:rPr>
                <w:rFonts w:ascii="Arial" w:hAnsi="Arial" w:cs="Arial"/>
                <w:sz w:val="20"/>
                <w:szCs w:val="20"/>
              </w:rPr>
            </w:pPr>
            <w:r w:rsidRPr="00564223">
              <w:rPr>
                <w:rFonts w:ascii="Arial" w:hAnsi="Arial" w:cs="Arial"/>
                <w:sz w:val="20"/>
                <w:szCs w:val="20"/>
              </w:rPr>
              <w:t>Have any additional adjustments been made to the risk score data provided such that they would not reflect the paid risk scores as of the date the data was provided? If so, please describe and quantify those adjustments in detail.</w:t>
            </w:r>
          </w:p>
        </w:tc>
        <w:tc>
          <w:tcPr>
            <w:tcW w:w="3214" w:type="dxa"/>
            <w:shd w:val="clear" w:color="auto" w:fill="D5DCE4" w:themeFill="text2" w:themeFillTint="33"/>
          </w:tcPr>
          <w:p w14:paraId="44A8765B" w14:textId="77777777" w:rsidR="00564223" w:rsidRPr="00564223" w:rsidRDefault="00564223" w:rsidP="0097193C">
            <w:pPr>
              <w:rPr>
                <w:color w:val="000000" w:themeColor="text1"/>
                <w:sz w:val="20"/>
                <w:szCs w:val="20"/>
              </w:rPr>
            </w:pPr>
            <w:r w:rsidRPr="00564223">
              <w:rPr>
                <w:color w:val="000000" w:themeColor="text1"/>
                <w:sz w:val="20"/>
                <w:szCs w:val="20"/>
              </w:rPr>
              <w:lastRenderedPageBreak/>
              <w:t xml:space="preserve">For the file, </w:t>
            </w:r>
            <w:r w:rsidRPr="00564223">
              <w:rPr>
                <w:i/>
                <w:iCs/>
                <w:color w:val="000000" w:themeColor="text1"/>
                <w:sz w:val="20"/>
                <w:szCs w:val="20"/>
              </w:rPr>
              <w:t>WI ETF MA Financial Summary</w:t>
            </w:r>
            <w:r w:rsidRPr="00564223">
              <w:rPr>
                <w:color w:val="000000" w:themeColor="text1"/>
                <w:sz w:val="20"/>
                <w:szCs w:val="20"/>
              </w:rPr>
              <w:t xml:space="preserve">, in the individual secure workspace(s), the average risk scores reflect final settlements for 2021/2022, and mid-year scores for 2023. No </w:t>
            </w:r>
            <w:r w:rsidRPr="00564223">
              <w:rPr>
                <w:color w:val="000000" w:themeColor="text1"/>
                <w:sz w:val="20"/>
                <w:szCs w:val="20"/>
              </w:rPr>
              <w:lastRenderedPageBreak/>
              <w:t>additional adjustments have been applied.</w:t>
            </w:r>
          </w:p>
        </w:tc>
      </w:tr>
      <w:tr w:rsidR="00564223" w14:paraId="10D98F24" w14:textId="77777777" w:rsidTr="0097193C">
        <w:tc>
          <w:tcPr>
            <w:tcW w:w="602" w:type="dxa"/>
            <w:shd w:val="clear" w:color="auto" w:fill="E7E6E6" w:themeFill="background2"/>
          </w:tcPr>
          <w:p w14:paraId="333CFF5E" w14:textId="77777777" w:rsidR="00564223" w:rsidRPr="00564223" w:rsidRDefault="00564223" w:rsidP="0097193C">
            <w:pPr>
              <w:jc w:val="both"/>
              <w:rPr>
                <w:sz w:val="20"/>
                <w:szCs w:val="20"/>
              </w:rPr>
            </w:pPr>
            <w:proofErr w:type="spellStart"/>
            <w:r w:rsidRPr="00564223">
              <w:rPr>
                <w:sz w:val="20"/>
                <w:szCs w:val="20"/>
              </w:rPr>
              <w:lastRenderedPageBreak/>
              <w:t>Q11</w:t>
            </w:r>
            <w:proofErr w:type="spellEnd"/>
          </w:p>
        </w:tc>
        <w:tc>
          <w:tcPr>
            <w:tcW w:w="1673" w:type="dxa"/>
            <w:shd w:val="clear" w:color="auto" w:fill="E7E6E6" w:themeFill="background2"/>
          </w:tcPr>
          <w:p w14:paraId="461D7CF5" w14:textId="77777777" w:rsidR="00564223" w:rsidRPr="00564223" w:rsidRDefault="00564223" w:rsidP="0097193C">
            <w:pPr>
              <w:rPr>
                <w:sz w:val="20"/>
                <w:szCs w:val="20"/>
              </w:rPr>
            </w:pPr>
            <w:r w:rsidRPr="00564223">
              <w:rPr>
                <w:sz w:val="20"/>
                <w:szCs w:val="20"/>
              </w:rPr>
              <w:t>WI ETF MA  MMR File</w:t>
            </w:r>
          </w:p>
        </w:tc>
        <w:tc>
          <w:tcPr>
            <w:tcW w:w="1095" w:type="dxa"/>
            <w:shd w:val="clear" w:color="auto" w:fill="E7E6E6" w:themeFill="background2"/>
          </w:tcPr>
          <w:p w14:paraId="744FAB9A" w14:textId="77777777" w:rsidR="00564223" w:rsidRPr="00564223" w:rsidRDefault="00564223" w:rsidP="0097193C">
            <w:pPr>
              <w:rPr>
                <w:sz w:val="20"/>
                <w:szCs w:val="20"/>
              </w:rPr>
            </w:pPr>
          </w:p>
        </w:tc>
        <w:tc>
          <w:tcPr>
            <w:tcW w:w="3676" w:type="dxa"/>
            <w:shd w:val="clear" w:color="auto" w:fill="E7E6E6" w:themeFill="background2"/>
          </w:tcPr>
          <w:p w14:paraId="2F7722AA" w14:textId="77777777" w:rsidR="00564223" w:rsidRPr="00564223" w:rsidRDefault="00564223" w:rsidP="0097193C">
            <w:pPr>
              <w:rPr>
                <w:sz w:val="20"/>
                <w:szCs w:val="20"/>
              </w:rPr>
            </w:pPr>
            <w:r w:rsidRPr="00564223">
              <w:rPr>
                <w:sz w:val="20"/>
                <w:szCs w:val="20"/>
              </w:rPr>
              <w:t>Please provide the information below regarding the data included in this file:</w:t>
            </w:r>
          </w:p>
          <w:p w14:paraId="0879A702" w14:textId="77777777" w:rsidR="00564223" w:rsidRPr="00564223" w:rsidRDefault="00564223" w:rsidP="00564223">
            <w:pPr>
              <w:pStyle w:val="ListParagraph"/>
              <w:numPr>
                <w:ilvl w:val="1"/>
                <w:numId w:val="8"/>
              </w:numPr>
              <w:spacing w:before="0" w:after="0"/>
              <w:ind w:left="246" w:hanging="246"/>
              <w:rPr>
                <w:rFonts w:ascii="Arial" w:hAnsi="Arial" w:cs="Arial"/>
                <w:sz w:val="20"/>
                <w:szCs w:val="20"/>
              </w:rPr>
            </w:pPr>
            <w:r w:rsidRPr="00564223">
              <w:rPr>
                <w:rFonts w:ascii="Arial" w:hAnsi="Arial" w:cs="Arial"/>
                <w:sz w:val="20"/>
                <w:szCs w:val="20"/>
              </w:rPr>
              <w:t>Does the provided risk score include any actual or estimated amounts for the CMS mid-year payment?</w:t>
            </w:r>
          </w:p>
          <w:p w14:paraId="3E08A3A3" w14:textId="77777777" w:rsidR="00564223" w:rsidRPr="00564223" w:rsidRDefault="00564223" w:rsidP="00564223">
            <w:pPr>
              <w:pStyle w:val="ListParagraph"/>
              <w:numPr>
                <w:ilvl w:val="1"/>
                <w:numId w:val="8"/>
              </w:numPr>
              <w:spacing w:before="0" w:after="0"/>
              <w:ind w:left="246" w:hanging="246"/>
              <w:rPr>
                <w:rFonts w:ascii="Arial" w:hAnsi="Arial" w:cs="Arial"/>
                <w:sz w:val="20"/>
                <w:szCs w:val="20"/>
              </w:rPr>
            </w:pPr>
            <w:r w:rsidRPr="00564223">
              <w:rPr>
                <w:rFonts w:ascii="Arial" w:hAnsi="Arial" w:cs="Arial"/>
                <w:sz w:val="20"/>
                <w:szCs w:val="20"/>
              </w:rPr>
              <w:t>Does the provided risk score include any actual or estimated amounts for the CMS final payment?</w:t>
            </w:r>
          </w:p>
          <w:p w14:paraId="6C7A689F" w14:textId="77777777" w:rsidR="00564223" w:rsidRPr="00564223" w:rsidRDefault="00564223" w:rsidP="00564223">
            <w:pPr>
              <w:pStyle w:val="ListParagraph"/>
              <w:numPr>
                <w:ilvl w:val="1"/>
                <w:numId w:val="8"/>
              </w:numPr>
              <w:spacing w:before="0" w:after="0"/>
              <w:ind w:left="246" w:hanging="246"/>
              <w:rPr>
                <w:rFonts w:ascii="Arial" w:hAnsi="Arial" w:cs="Arial"/>
                <w:sz w:val="20"/>
                <w:szCs w:val="20"/>
              </w:rPr>
            </w:pPr>
            <w:r w:rsidRPr="00564223">
              <w:rPr>
                <w:rFonts w:ascii="Arial" w:hAnsi="Arial" w:cs="Arial"/>
                <w:sz w:val="20"/>
                <w:szCs w:val="20"/>
              </w:rPr>
              <w:t>Have any additional adjustments been made to the risk score data provided such that they would not reflect the paid risk scores as of the date the data was provided? If so, please describe and quantify those adjustments in detail.</w:t>
            </w:r>
          </w:p>
        </w:tc>
        <w:tc>
          <w:tcPr>
            <w:tcW w:w="3214" w:type="dxa"/>
            <w:shd w:val="clear" w:color="auto" w:fill="E7E6E6" w:themeFill="background2"/>
          </w:tcPr>
          <w:p w14:paraId="2F0C95BF" w14:textId="77777777" w:rsidR="00564223" w:rsidRPr="00564223" w:rsidRDefault="00564223" w:rsidP="0097193C">
            <w:pPr>
              <w:rPr>
                <w:sz w:val="20"/>
                <w:szCs w:val="20"/>
              </w:rPr>
            </w:pPr>
            <w:r w:rsidRPr="00564223">
              <w:rPr>
                <w:sz w:val="20"/>
                <w:szCs w:val="20"/>
              </w:rPr>
              <w:t xml:space="preserve">For the file, </w:t>
            </w:r>
            <w:r w:rsidRPr="00564223">
              <w:rPr>
                <w:i/>
                <w:iCs/>
                <w:sz w:val="20"/>
                <w:szCs w:val="20"/>
              </w:rPr>
              <w:t>WI ETF MA MMR File</w:t>
            </w:r>
            <w:r w:rsidRPr="00564223">
              <w:rPr>
                <w:sz w:val="20"/>
                <w:szCs w:val="20"/>
              </w:rPr>
              <w:t>, in the individual secure workspace(s), the risk scores in MMR reflect the latest mid-year and adjustment as of January 2024. No additional adjustments have been applied.</w:t>
            </w:r>
          </w:p>
        </w:tc>
      </w:tr>
      <w:bookmarkEnd w:id="1"/>
      <w:tr w:rsidR="00564223" w14:paraId="4E852133" w14:textId="77777777" w:rsidTr="0097193C">
        <w:tc>
          <w:tcPr>
            <w:tcW w:w="602" w:type="dxa"/>
            <w:shd w:val="clear" w:color="auto" w:fill="D5DCE4" w:themeFill="text2" w:themeFillTint="33"/>
          </w:tcPr>
          <w:p w14:paraId="055507E3" w14:textId="77777777" w:rsidR="00564223" w:rsidRPr="00564223" w:rsidRDefault="00564223" w:rsidP="0097193C">
            <w:pPr>
              <w:jc w:val="both"/>
              <w:rPr>
                <w:sz w:val="20"/>
                <w:szCs w:val="20"/>
              </w:rPr>
            </w:pPr>
            <w:proofErr w:type="spellStart"/>
            <w:r w:rsidRPr="00564223">
              <w:rPr>
                <w:sz w:val="20"/>
                <w:szCs w:val="20"/>
              </w:rPr>
              <w:t>Q12</w:t>
            </w:r>
            <w:proofErr w:type="spellEnd"/>
          </w:p>
        </w:tc>
        <w:tc>
          <w:tcPr>
            <w:tcW w:w="1673" w:type="dxa"/>
            <w:shd w:val="clear" w:color="auto" w:fill="D5DCE4" w:themeFill="text2" w:themeFillTint="33"/>
          </w:tcPr>
          <w:p w14:paraId="2A1C3E99" w14:textId="77777777" w:rsidR="00564223" w:rsidRPr="00564223" w:rsidRDefault="00564223" w:rsidP="0097193C">
            <w:pPr>
              <w:rPr>
                <w:sz w:val="20"/>
                <w:szCs w:val="20"/>
              </w:rPr>
            </w:pPr>
            <w:r w:rsidRPr="00564223">
              <w:rPr>
                <w:sz w:val="20"/>
                <w:szCs w:val="20"/>
              </w:rPr>
              <w:t xml:space="preserve">Exhibit 1 - Program Agreement </w:t>
            </w:r>
          </w:p>
        </w:tc>
        <w:tc>
          <w:tcPr>
            <w:tcW w:w="1095" w:type="dxa"/>
            <w:shd w:val="clear" w:color="auto" w:fill="D5DCE4" w:themeFill="text2" w:themeFillTint="33"/>
          </w:tcPr>
          <w:p w14:paraId="189A30BA" w14:textId="77777777" w:rsidR="00564223" w:rsidRPr="00564223" w:rsidRDefault="00564223" w:rsidP="0097193C">
            <w:pPr>
              <w:rPr>
                <w:sz w:val="20"/>
                <w:szCs w:val="20"/>
              </w:rPr>
            </w:pPr>
            <w:r w:rsidRPr="00564223">
              <w:rPr>
                <w:sz w:val="20"/>
                <w:szCs w:val="20"/>
              </w:rPr>
              <w:t>Entire document</w:t>
            </w:r>
          </w:p>
        </w:tc>
        <w:tc>
          <w:tcPr>
            <w:tcW w:w="3676" w:type="dxa"/>
            <w:shd w:val="clear" w:color="auto" w:fill="D5DCE4" w:themeFill="text2" w:themeFillTint="33"/>
          </w:tcPr>
          <w:p w14:paraId="6E4C0B6F" w14:textId="77777777" w:rsidR="00564223" w:rsidRPr="00564223" w:rsidRDefault="00564223" w:rsidP="0097193C">
            <w:pPr>
              <w:rPr>
                <w:sz w:val="20"/>
                <w:szCs w:val="20"/>
              </w:rPr>
            </w:pPr>
            <w:r w:rsidRPr="00564223">
              <w:rPr>
                <w:sz w:val="20"/>
                <w:szCs w:val="20"/>
              </w:rPr>
              <w:t>Given the complexities of the Medicare Advantage (MA) product, will WI ETF accept negotiating a standard Medicare Advantage Agreement with the chosen carrier (template may be provided by MA carrier) in place of the Program Agreement to alleviate extensive exceptions and align with strict CMS requirements and regulations, as well as, administration of a fully-insured versus self-funded offering, for which the current agreement does not align?</w:t>
            </w:r>
          </w:p>
        </w:tc>
        <w:tc>
          <w:tcPr>
            <w:tcW w:w="3214" w:type="dxa"/>
            <w:shd w:val="clear" w:color="auto" w:fill="D5DCE4" w:themeFill="text2" w:themeFillTint="33"/>
          </w:tcPr>
          <w:p w14:paraId="765FA68B" w14:textId="77777777" w:rsidR="00564223" w:rsidRPr="00564223" w:rsidRDefault="00564223" w:rsidP="0097193C">
            <w:pPr>
              <w:rPr>
                <w:sz w:val="20"/>
                <w:szCs w:val="20"/>
              </w:rPr>
            </w:pPr>
            <w:r w:rsidRPr="00564223">
              <w:rPr>
                <w:sz w:val="20"/>
                <w:szCs w:val="20"/>
              </w:rPr>
              <w:t>No. The Department</w:t>
            </w:r>
            <w:r w:rsidRPr="00564223">
              <w:rPr>
                <w:sz w:val="20"/>
                <w:szCs w:val="20"/>
              </w:rPr>
              <w:t xml:space="preserve"> </w:t>
            </w:r>
            <w:r w:rsidRPr="00564223">
              <w:rPr>
                <w:sz w:val="20"/>
                <w:szCs w:val="20"/>
              </w:rPr>
              <w:t>offers Uniform Benefits. Benefit exceptions are only made if a benefit is mandated by CMS and not covered under Uniform Benefits. Then it is permissible. Further, for supplemental benefits that are optional, the Board has taken action to permit these. This plan is to be fully insured. The Department requires all vendors to use the Department’s Program Agreement.</w:t>
            </w:r>
          </w:p>
        </w:tc>
      </w:tr>
      <w:tr w:rsidR="00564223" w14:paraId="144F5E9D" w14:textId="77777777" w:rsidTr="0097193C">
        <w:tc>
          <w:tcPr>
            <w:tcW w:w="602" w:type="dxa"/>
            <w:shd w:val="clear" w:color="auto" w:fill="E7E6E6" w:themeFill="background2"/>
          </w:tcPr>
          <w:p w14:paraId="6457815C" w14:textId="77777777" w:rsidR="00564223" w:rsidRPr="00564223" w:rsidRDefault="00564223" w:rsidP="0097193C">
            <w:pPr>
              <w:jc w:val="both"/>
              <w:rPr>
                <w:sz w:val="20"/>
                <w:szCs w:val="20"/>
              </w:rPr>
            </w:pPr>
            <w:proofErr w:type="spellStart"/>
            <w:r w:rsidRPr="00564223">
              <w:rPr>
                <w:sz w:val="20"/>
                <w:szCs w:val="20"/>
              </w:rPr>
              <w:t>Q13</w:t>
            </w:r>
            <w:proofErr w:type="spellEnd"/>
          </w:p>
        </w:tc>
        <w:tc>
          <w:tcPr>
            <w:tcW w:w="1673" w:type="dxa"/>
            <w:shd w:val="clear" w:color="auto" w:fill="E7E6E6" w:themeFill="background2"/>
          </w:tcPr>
          <w:p w14:paraId="0C0A8C7A" w14:textId="77777777" w:rsidR="00564223" w:rsidRPr="00564223" w:rsidRDefault="00564223" w:rsidP="0097193C">
            <w:pPr>
              <w:rPr>
                <w:sz w:val="20"/>
                <w:szCs w:val="20"/>
              </w:rPr>
            </w:pPr>
            <w:r w:rsidRPr="00564223">
              <w:rPr>
                <w:sz w:val="20"/>
                <w:szCs w:val="20"/>
              </w:rPr>
              <w:t xml:space="preserve">Exhibit 1 - Program Agreement </w:t>
            </w:r>
            <w:proofErr w:type="spellStart"/>
            <w:r w:rsidRPr="00564223">
              <w:rPr>
                <w:sz w:val="20"/>
                <w:szCs w:val="20"/>
              </w:rPr>
              <w:t>III.H.3.i</w:t>
            </w:r>
            <w:proofErr w:type="spellEnd"/>
            <w:r w:rsidRPr="00564223">
              <w:rPr>
                <w:sz w:val="20"/>
                <w:szCs w:val="20"/>
              </w:rPr>
              <w:t xml:space="preserve">. (Customer Service)  </w:t>
            </w:r>
          </w:p>
        </w:tc>
        <w:tc>
          <w:tcPr>
            <w:tcW w:w="1095" w:type="dxa"/>
            <w:shd w:val="clear" w:color="auto" w:fill="E7E6E6" w:themeFill="background2"/>
          </w:tcPr>
          <w:p w14:paraId="0BBBE6EF" w14:textId="77777777" w:rsidR="00564223" w:rsidRPr="00564223" w:rsidRDefault="00564223" w:rsidP="0097193C">
            <w:pPr>
              <w:rPr>
                <w:sz w:val="20"/>
                <w:szCs w:val="20"/>
              </w:rPr>
            </w:pPr>
            <w:r w:rsidRPr="00564223">
              <w:rPr>
                <w:sz w:val="20"/>
                <w:szCs w:val="20"/>
              </w:rPr>
              <w:t>Page 36</w:t>
            </w:r>
          </w:p>
        </w:tc>
        <w:tc>
          <w:tcPr>
            <w:tcW w:w="3676" w:type="dxa"/>
            <w:shd w:val="clear" w:color="auto" w:fill="E7E6E6" w:themeFill="background2"/>
          </w:tcPr>
          <w:p w14:paraId="429724A8" w14:textId="77777777" w:rsidR="00564223" w:rsidRPr="00564223" w:rsidRDefault="00564223" w:rsidP="0097193C">
            <w:pPr>
              <w:rPr>
                <w:b/>
                <w:bCs/>
                <w:sz w:val="20"/>
                <w:szCs w:val="20"/>
              </w:rPr>
            </w:pPr>
            <w:r w:rsidRPr="00564223">
              <w:rPr>
                <w:i/>
                <w:iCs/>
                <w:sz w:val="20"/>
                <w:szCs w:val="20"/>
              </w:rPr>
              <w:t xml:space="preserve">“i. At the DEPARTMENT’S request, the CONTRACTOR must provide the policies and procedures related to the operation of the CONTRACTOR’S customer service department. </w:t>
            </w:r>
            <w:r w:rsidRPr="00564223">
              <w:rPr>
                <w:b/>
                <w:bCs/>
                <w:i/>
                <w:iCs/>
                <w:sz w:val="20"/>
                <w:szCs w:val="20"/>
              </w:rPr>
              <w:t xml:space="preserve">The DEPARTMENT reserves the right to </w:t>
            </w:r>
            <w:r w:rsidRPr="00564223">
              <w:rPr>
                <w:b/>
                <w:bCs/>
                <w:i/>
                <w:iCs/>
                <w:sz w:val="20"/>
                <w:szCs w:val="20"/>
              </w:rPr>
              <w:lastRenderedPageBreak/>
              <w:t>require changes to the policies and procedures that directly impact PARTICIPANTS.”</w:t>
            </w:r>
            <w:r w:rsidRPr="00564223">
              <w:rPr>
                <w:b/>
                <w:bCs/>
                <w:sz w:val="20"/>
                <w:szCs w:val="20"/>
              </w:rPr>
              <w:t xml:space="preserve"> </w:t>
            </w:r>
          </w:p>
          <w:p w14:paraId="3B6625F6" w14:textId="77777777" w:rsidR="00564223" w:rsidRPr="00564223" w:rsidRDefault="00564223" w:rsidP="0097193C">
            <w:pPr>
              <w:rPr>
                <w:sz w:val="20"/>
                <w:szCs w:val="20"/>
              </w:rPr>
            </w:pPr>
          </w:p>
          <w:p w14:paraId="58CB1B8B" w14:textId="77777777" w:rsidR="00564223" w:rsidRPr="00564223" w:rsidRDefault="00564223" w:rsidP="0097193C">
            <w:pPr>
              <w:rPr>
                <w:sz w:val="20"/>
                <w:szCs w:val="20"/>
              </w:rPr>
            </w:pPr>
            <w:r w:rsidRPr="00564223">
              <w:rPr>
                <w:sz w:val="20"/>
                <w:szCs w:val="20"/>
              </w:rPr>
              <w:t xml:space="preserve">Please confirm, under a fully-insured offering the Medicare Advantage (MA) carrier is expected to own the risk and administer the </w:t>
            </w:r>
            <w:proofErr w:type="spellStart"/>
            <w:r w:rsidRPr="00564223">
              <w:rPr>
                <w:sz w:val="20"/>
                <w:szCs w:val="20"/>
              </w:rPr>
              <w:t>DEPARTMENT's</w:t>
            </w:r>
            <w:proofErr w:type="spellEnd"/>
            <w:r w:rsidRPr="00564223">
              <w:rPr>
                <w:sz w:val="20"/>
                <w:szCs w:val="20"/>
              </w:rPr>
              <w:t xml:space="preserve"> chosen plan on the </w:t>
            </w:r>
            <w:proofErr w:type="spellStart"/>
            <w:r w:rsidRPr="00564223">
              <w:rPr>
                <w:sz w:val="20"/>
                <w:szCs w:val="20"/>
              </w:rPr>
              <w:t>DEPARTMENT's</w:t>
            </w:r>
            <w:proofErr w:type="spellEnd"/>
            <w:r w:rsidRPr="00564223">
              <w:rPr>
                <w:sz w:val="20"/>
                <w:szCs w:val="20"/>
              </w:rPr>
              <w:t xml:space="preserve"> behalf, and as such the following provision restricting the carrier's operational control and other similar, are only applicable to a self-insured offering where the DEPARTMENT would own the plan oversight and risk?</w:t>
            </w:r>
          </w:p>
        </w:tc>
        <w:tc>
          <w:tcPr>
            <w:tcW w:w="3214" w:type="dxa"/>
            <w:shd w:val="clear" w:color="auto" w:fill="E7E6E6" w:themeFill="background2"/>
          </w:tcPr>
          <w:p w14:paraId="02EC80C9" w14:textId="77777777" w:rsidR="00564223" w:rsidRPr="00564223" w:rsidRDefault="00564223" w:rsidP="0097193C">
            <w:pPr>
              <w:rPr>
                <w:sz w:val="20"/>
                <w:szCs w:val="20"/>
              </w:rPr>
            </w:pPr>
            <w:r w:rsidRPr="00564223">
              <w:rPr>
                <w:sz w:val="20"/>
                <w:szCs w:val="20"/>
              </w:rPr>
              <w:lastRenderedPageBreak/>
              <w:t xml:space="preserve">The Medicare Advantage carrier is expected to own the risk and administer the Department's chosen plan on the Department's behalf. Regarding the reference to a self-insured offering, </w:t>
            </w:r>
            <w:r w:rsidRPr="00564223">
              <w:rPr>
                <w:sz w:val="20"/>
                <w:szCs w:val="20"/>
              </w:rPr>
              <w:lastRenderedPageBreak/>
              <w:t>currently the Department does not operate within a self-insured offering through the Group Health Insurance Program except for the Pharmacy Benefit Manager.</w:t>
            </w:r>
          </w:p>
          <w:p w14:paraId="461557F7" w14:textId="77777777" w:rsidR="00564223" w:rsidRPr="00564223" w:rsidRDefault="00564223" w:rsidP="0097193C">
            <w:pPr>
              <w:rPr>
                <w:sz w:val="20"/>
                <w:szCs w:val="20"/>
              </w:rPr>
            </w:pPr>
          </w:p>
          <w:p w14:paraId="3BDC7A5F" w14:textId="77777777" w:rsidR="00564223" w:rsidRPr="00564223" w:rsidRDefault="00564223" w:rsidP="0097193C">
            <w:pPr>
              <w:rPr>
                <w:sz w:val="20"/>
                <w:szCs w:val="20"/>
              </w:rPr>
            </w:pPr>
            <w:r w:rsidRPr="00564223">
              <w:rPr>
                <w:sz w:val="20"/>
                <w:szCs w:val="20"/>
              </w:rPr>
              <w:t>The referenced provision applies to the fully-insured plan offering. Specific changes may be negotiated with the selected vendor.</w:t>
            </w:r>
          </w:p>
        </w:tc>
      </w:tr>
      <w:tr w:rsidR="00564223" w14:paraId="40E04CDC" w14:textId="77777777" w:rsidTr="0097193C">
        <w:tc>
          <w:tcPr>
            <w:tcW w:w="602" w:type="dxa"/>
            <w:shd w:val="clear" w:color="auto" w:fill="D5DCE4" w:themeFill="text2" w:themeFillTint="33"/>
          </w:tcPr>
          <w:p w14:paraId="43ED672E" w14:textId="77777777" w:rsidR="00564223" w:rsidRPr="00564223" w:rsidRDefault="00564223" w:rsidP="0097193C">
            <w:pPr>
              <w:jc w:val="both"/>
              <w:rPr>
                <w:sz w:val="20"/>
                <w:szCs w:val="20"/>
              </w:rPr>
            </w:pPr>
            <w:proofErr w:type="spellStart"/>
            <w:r w:rsidRPr="00564223">
              <w:rPr>
                <w:sz w:val="20"/>
                <w:szCs w:val="20"/>
              </w:rPr>
              <w:lastRenderedPageBreak/>
              <w:t>Q14</w:t>
            </w:r>
            <w:proofErr w:type="spellEnd"/>
          </w:p>
        </w:tc>
        <w:tc>
          <w:tcPr>
            <w:tcW w:w="1673" w:type="dxa"/>
            <w:shd w:val="clear" w:color="auto" w:fill="D5DCE4" w:themeFill="text2" w:themeFillTint="33"/>
          </w:tcPr>
          <w:p w14:paraId="059C27C1" w14:textId="77777777" w:rsidR="00564223" w:rsidRPr="00564223" w:rsidRDefault="00564223" w:rsidP="0097193C">
            <w:pPr>
              <w:rPr>
                <w:sz w:val="20"/>
                <w:szCs w:val="20"/>
              </w:rPr>
            </w:pPr>
            <w:r w:rsidRPr="00564223">
              <w:rPr>
                <w:sz w:val="20"/>
                <w:szCs w:val="20"/>
              </w:rPr>
              <w:t xml:space="preserve">Exhibit 1 - Program Agreement </w:t>
            </w:r>
            <w:proofErr w:type="spellStart"/>
            <w:r w:rsidRPr="00564223">
              <w:rPr>
                <w:sz w:val="20"/>
                <w:szCs w:val="20"/>
              </w:rPr>
              <w:t>III.H.9.d.i</w:t>
            </w:r>
            <w:proofErr w:type="spellEnd"/>
            <w:r w:rsidRPr="00564223">
              <w:rPr>
                <w:sz w:val="20"/>
                <w:szCs w:val="20"/>
              </w:rPr>
              <w:t xml:space="preserve">.  (Bonding, </w:t>
            </w:r>
            <w:proofErr w:type="gramStart"/>
            <w:r w:rsidRPr="00564223">
              <w:rPr>
                <w:sz w:val="20"/>
                <w:szCs w:val="20"/>
              </w:rPr>
              <w:t>Reinsurance</w:t>
            </w:r>
            <w:proofErr w:type="gramEnd"/>
            <w:r w:rsidRPr="00564223">
              <w:rPr>
                <w:sz w:val="20"/>
                <w:szCs w:val="20"/>
              </w:rPr>
              <w:t xml:space="preserve"> and Insolvency)</w:t>
            </w:r>
          </w:p>
        </w:tc>
        <w:tc>
          <w:tcPr>
            <w:tcW w:w="1095" w:type="dxa"/>
            <w:shd w:val="clear" w:color="auto" w:fill="D5DCE4" w:themeFill="text2" w:themeFillTint="33"/>
          </w:tcPr>
          <w:p w14:paraId="52ADDAFF" w14:textId="77777777" w:rsidR="00564223" w:rsidRPr="00564223" w:rsidRDefault="00564223" w:rsidP="0097193C">
            <w:pPr>
              <w:rPr>
                <w:sz w:val="20"/>
                <w:szCs w:val="20"/>
              </w:rPr>
            </w:pPr>
            <w:r w:rsidRPr="00564223">
              <w:rPr>
                <w:sz w:val="20"/>
                <w:szCs w:val="20"/>
              </w:rPr>
              <w:t>Page 38</w:t>
            </w:r>
          </w:p>
        </w:tc>
        <w:tc>
          <w:tcPr>
            <w:tcW w:w="3676" w:type="dxa"/>
            <w:shd w:val="clear" w:color="auto" w:fill="D5DCE4" w:themeFill="text2" w:themeFillTint="33"/>
          </w:tcPr>
          <w:p w14:paraId="72B75834" w14:textId="77777777" w:rsidR="00564223" w:rsidRPr="00564223" w:rsidRDefault="00564223" w:rsidP="0097193C">
            <w:pPr>
              <w:rPr>
                <w:i/>
                <w:iCs/>
                <w:sz w:val="20"/>
                <w:szCs w:val="20"/>
              </w:rPr>
            </w:pPr>
            <w:r w:rsidRPr="00564223">
              <w:rPr>
                <w:i/>
                <w:iCs/>
                <w:sz w:val="20"/>
                <w:szCs w:val="20"/>
              </w:rPr>
              <w:t xml:space="preserve">“d. In the event a CONTRACTOR becomes or is at risk for becoming insolvent, experiences a “Significant Event,” a significant loss of primary PROVIDERS and/or HOSPITALS, or no longer meets the minimum provider access standards defined under Wis. Stat. § 609.22 and Wis. Admin. Code INS 9.32, and included in Section </w:t>
            </w:r>
            <w:proofErr w:type="spellStart"/>
            <w:r w:rsidRPr="00564223">
              <w:rPr>
                <w:i/>
                <w:iCs/>
                <w:sz w:val="20"/>
                <w:szCs w:val="20"/>
              </w:rPr>
              <w:t>III.F.1</w:t>
            </w:r>
            <w:proofErr w:type="spellEnd"/>
            <w:r w:rsidRPr="00564223">
              <w:rPr>
                <w:i/>
                <w:iCs/>
                <w:sz w:val="20"/>
                <w:szCs w:val="20"/>
              </w:rPr>
              <w:t>. Provider Access Standards, or if the BOARD so directs due to a “Significant Event,” the BOARD may do any of the following, including any combination of the following:</w:t>
            </w:r>
          </w:p>
          <w:p w14:paraId="7EBFAE7C" w14:textId="77777777" w:rsidR="00564223" w:rsidRPr="00564223" w:rsidRDefault="00564223" w:rsidP="0097193C">
            <w:pPr>
              <w:rPr>
                <w:i/>
                <w:iCs/>
                <w:sz w:val="20"/>
                <w:szCs w:val="20"/>
              </w:rPr>
            </w:pPr>
            <w:r w:rsidRPr="00564223">
              <w:rPr>
                <w:i/>
                <w:iCs/>
                <w:sz w:val="20"/>
                <w:szCs w:val="20"/>
              </w:rPr>
              <w:t>i. Terminate the CONTRACT upon any notice it deems appropriate, including no notice.”</w:t>
            </w:r>
          </w:p>
          <w:p w14:paraId="1A95C4F5" w14:textId="77777777" w:rsidR="00564223" w:rsidRPr="00564223" w:rsidRDefault="00564223" w:rsidP="0097193C">
            <w:pPr>
              <w:rPr>
                <w:i/>
                <w:iCs/>
                <w:sz w:val="20"/>
                <w:szCs w:val="20"/>
              </w:rPr>
            </w:pPr>
          </w:p>
          <w:p w14:paraId="7EB1B2DB" w14:textId="77777777" w:rsidR="00564223" w:rsidRPr="00564223" w:rsidRDefault="00564223" w:rsidP="0097193C">
            <w:pPr>
              <w:rPr>
                <w:sz w:val="20"/>
                <w:szCs w:val="20"/>
              </w:rPr>
            </w:pPr>
            <w:r w:rsidRPr="00564223">
              <w:rPr>
                <w:sz w:val="20"/>
                <w:szCs w:val="20"/>
              </w:rPr>
              <w:t>Please confirm under all circumstances, notice to terminate the contract must be received in writing no less than 30 days prior to termination in order to meet CMS required member notice of at least 21 days in advance if the member’s plan is terminating. (§50.7, Chapter 2, Medicare Managed Care Manual).</w:t>
            </w:r>
          </w:p>
        </w:tc>
        <w:tc>
          <w:tcPr>
            <w:tcW w:w="3214" w:type="dxa"/>
            <w:shd w:val="clear" w:color="auto" w:fill="D5DCE4" w:themeFill="text2" w:themeFillTint="33"/>
          </w:tcPr>
          <w:p w14:paraId="0227832F" w14:textId="77777777" w:rsidR="00564223" w:rsidRPr="00564223" w:rsidRDefault="00564223" w:rsidP="0097193C">
            <w:pPr>
              <w:rPr>
                <w:sz w:val="20"/>
                <w:szCs w:val="20"/>
              </w:rPr>
            </w:pPr>
            <w:r w:rsidRPr="00564223">
              <w:rPr>
                <w:sz w:val="20"/>
                <w:szCs w:val="20"/>
              </w:rPr>
              <w:t xml:space="preserve">This provision may be negotiated  with the selected vendor.  </w:t>
            </w:r>
          </w:p>
        </w:tc>
      </w:tr>
      <w:tr w:rsidR="00564223" w14:paraId="1FB48588" w14:textId="77777777" w:rsidTr="0097193C">
        <w:tc>
          <w:tcPr>
            <w:tcW w:w="602" w:type="dxa"/>
            <w:shd w:val="clear" w:color="auto" w:fill="E7E6E6" w:themeFill="background2"/>
          </w:tcPr>
          <w:p w14:paraId="77F162E5" w14:textId="77777777" w:rsidR="00564223" w:rsidRPr="00564223" w:rsidRDefault="00564223" w:rsidP="0097193C">
            <w:pPr>
              <w:jc w:val="both"/>
              <w:rPr>
                <w:sz w:val="20"/>
                <w:szCs w:val="20"/>
              </w:rPr>
            </w:pPr>
            <w:proofErr w:type="spellStart"/>
            <w:r w:rsidRPr="00564223">
              <w:rPr>
                <w:sz w:val="20"/>
                <w:szCs w:val="20"/>
              </w:rPr>
              <w:t>Q15</w:t>
            </w:r>
            <w:proofErr w:type="spellEnd"/>
          </w:p>
        </w:tc>
        <w:tc>
          <w:tcPr>
            <w:tcW w:w="1673" w:type="dxa"/>
            <w:shd w:val="clear" w:color="auto" w:fill="E7E6E6" w:themeFill="background2"/>
          </w:tcPr>
          <w:p w14:paraId="026BED45" w14:textId="77777777" w:rsidR="00564223" w:rsidRPr="00564223" w:rsidRDefault="00564223" w:rsidP="0097193C">
            <w:pPr>
              <w:rPr>
                <w:sz w:val="20"/>
                <w:szCs w:val="20"/>
              </w:rPr>
            </w:pPr>
            <w:r w:rsidRPr="00564223">
              <w:rPr>
                <w:sz w:val="20"/>
                <w:szCs w:val="20"/>
              </w:rPr>
              <w:t xml:space="preserve">Exhibit 1 - Program Agreement </w:t>
            </w:r>
            <w:proofErr w:type="spellStart"/>
            <w:r w:rsidRPr="00564223">
              <w:rPr>
                <w:sz w:val="20"/>
                <w:szCs w:val="20"/>
              </w:rPr>
              <w:t>III.L.2.a</w:t>
            </w:r>
            <w:proofErr w:type="spellEnd"/>
            <w:r w:rsidRPr="00564223">
              <w:rPr>
                <w:sz w:val="20"/>
                <w:szCs w:val="20"/>
              </w:rPr>
              <w:t xml:space="preserve">. (STATE and </w:t>
            </w:r>
            <w:r w:rsidRPr="00564223">
              <w:rPr>
                <w:sz w:val="20"/>
                <w:szCs w:val="20"/>
              </w:rPr>
              <w:lastRenderedPageBreak/>
              <w:t>Federal Mandates)</w:t>
            </w:r>
          </w:p>
        </w:tc>
        <w:tc>
          <w:tcPr>
            <w:tcW w:w="1095" w:type="dxa"/>
            <w:shd w:val="clear" w:color="auto" w:fill="E7E6E6" w:themeFill="background2"/>
          </w:tcPr>
          <w:p w14:paraId="017A3022" w14:textId="77777777" w:rsidR="00564223" w:rsidRPr="00564223" w:rsidRDefault="00564223" w:rsidP="0097193C">
            <w:pPr>
              <w:rPr>
                <w:sz w:val="20"/>
                <w:szCs w:val="20"/>
              </w:rPr>
            </w:pPr>
            <w:r w:rsidRPr="00564223">
              <w:rPr>
                <w:sz w:val="20"/>
                <w:szCs w:val="20"/>
              </w:rPr>
              <w:lastRenderedPageBreak/>
              <w:t>Page 47</w:t>
            </w:r>
          </w:p>
        </w:tc>
        <w:tc>
          <w:tcPr>
            <w:tcW w:w="3676" w:type="dxa"/>
            <w:shd w:val="clear" w:color="auto" w:fill="E7E6E6" w:themeFill="background2"/>
          </w:tcPr>
          <w:p w14:paraId="47954772" w14:textId="77777777" w:rsidR="00564223" w:rsidRPr="00564223" w:rsidRDefault="00564223" w:rsidP="0097193C">
            <w:pPr>
              <w:rPr>
                <w:i/>
                <w:iCs/>
                <w:sz w:val="20"/>
                <w:szCs w:val="20"/>
              </w:rPr>
            </w:pPr>
            <w:r w:rsidRPr="00564223">
              <w:rPr>
                <w:i/>
                <w:iCs/>
                <w:sz w:val="20"/>
                <w:szCs w:val="20"/>
              </w:rPr>
              <w:t xml:space="preserve">“2. Reporting on compliance will, at minimum, provide evidence that the CONTRACTOR has met the requirements of the compliance activities. Additional information may be required by the DEPARTMENT </w:t>
            </w:r>
            <w:r w:rsidRPr="00564223">
              <w:rPr>
                <w:i/>
                <w:iCs/>
                <w:sz w:val="20"/>
                <w:szCs w:val="20"/>
              </w:rPr>
              <w:lastRenderedPageBreak/>
              <w:t>based upon the type of compliance activity being reported.</w:t>
            </w:r>
          </w:p>
          <w:p w14:paraId="44E2A8A4" w14:textId="77777777" w:rsidR="00564223" w:rsidRPr="00564223" w:rsidRDefault="00564223" w:rsidP="0097193C">
            <w:pPr>
              <w:rPr>
                <w:i/>
                <w:iCs/>
                <w:sz w:val="20"/>
                <w:szCs w:val="20"/>
              </w:rPr>
            </w:pPr>
            <w:r w:rsidRPr="00564223">
              <w:rPr>
                <w:i/>
                <w:iCs/>
                <w:sz w:val="20"/>
                <w:szCs w:val="20"/>
              </w:rPr>
              <w:t>a. Specifically pertaining to the transparency requirements set forth in the Consolidated Appropriations Act of 2021, the CONTRACTOR must attest annually that transparency-related requirements have been met beginning with each compliance year specified by the Act and rules as they are finalized by Federal authorities. The CONTRACTOR must also make compliance reports required by the Act specific to Mental Health Parity available to the DEPARTMENT upon request, and in the event that reporting is required by the federal government. The CONTRACTOR must also notify the DEPARTMENT if any aspect of the DEPARTMENT’S HEALTH BENEFIT PROGRAM design or administrative requirements create risks to compliance.”</w:t>
            </w:r>
          </w:p>
          <w:p w14:paraId="466C6635" w14:textId="77777777" w:rsidR="00564223" w:rsidRPr="00564223" w:rsidRDefault="00564223" w:rsidP="0097193C">
            <w:pPr>
              <w:rPr>
                <w:i/>
                <w:iCs/>
                <w:sz w:val="20"/>
                <w:szCs w:val="20"/>
              </w:rPr>
            </w:pPr>
          </w:p>
          <w:p w14:paraId="4799D5CC" w14:textId="77777777" w:rsidR="00564223" w:rsidRPr="00564223" w:rsidRDefault="00564223" w:rsidP="0097193C">
            <w:pPr>
              <w:rPr>
                <w:sz w:val="20"/>
                <w:szCs w:val="20"/>
              </w:rPr>
            </w:pPr>
            <w:r w:rsidRPr="00564223">
              <w:rPr>
                <w:sz w:val="20"/>
                <w:szCs w:val="20"/>
              </w:rPr>
              <w:t xml:space="preserve">Please confirm that as the majority of the </w:t>
            </w:r>
            <w:bookmarkStart w:id="2" w:name="OLE_LINK4"/>
            <w:r w:rsidRPr="00564223">
              <w:rPr>
                <w:sz w:val="20"/>
                <w:szCs w:val="20"/>
              </w:rPr>
              <w:t>Consolidated Appropriations ACT</w:t>
            </w:r>
            <w:bookmarkEnd w:id="2"/>
            <w:r w:rsidRPr="00564223">
              <w:rPr>
                <w:sz w:val="20"/>
                <w:szCs w:val="20"/>
              </w:rPr>
              <w:t xml:space="preserve"> (CAA), 2021, is not applicable to Medicare Advantage (MA) plans, this provision may be deleted.</w:t>
            </w:r>
          </w:p>
        </w:tc>
        <w:tc>
          <w:tcPr>
            <w:tcW w:w="3214" w:type="dxa"/>
            <w:shd w:val="clear" w:color="auto" w:fill="E7E6E6" w:themeFill="background2"/>
          </w:tcPr>
          <w:p w14:paraId="73ABC514" w14:textId="77777777" w:rsidR="00564223" w:rsidRPr="00564223" w:rsidRDefault="00564223" w:rsidP="0097193C">
            <w:pPr>
              <w:rPr>
                <w:sz w:val="20"/>
                <w:szCs w:val="20"/>
              </w:rPr>
            </w:pPr>
            <w:r w:rsidRPr="00564223">
              <w:rPr>
                <w:sz w:val="20"/>
                <w:szCs w:val="20"/>
              </w:rPr>
              <w:lastRenderedPageBreak/>
              <w:t>This provision can be deleted from the Program Agreement as the transparency requirements in the Consolidated Appropriations ACT</w:t>
            </w:r>
            <w:r w:rsidRPr="00564223" w:rsidDel="003B1CDD">
              <w:rPr>
                <w:sz w:val="20"/>
                <w:szCs w:val="20"/>
              </w:rPr>
              <w:t xml:space="preserve"> </w:t>
            </w:r>
            <w:r w:rsidRPr="00564223">
              <w:rPr>
                <w:sz w:val="20"/>
                <w:szCs w:val="20"/>
              </w:rPr>
              <w:t>are silent on Medicare requirements.</w:t>
            </w:r>
          </w:p>
        </w:tc>
      </w:tr>
      <w:tr w:rsidR="00564223" w14:paraId="4C7C1080" w14:textId="77777777" w:rsidTr="0097193C">
        <w:tc>
          <w:tcPr>
            <w:tcW w:w="602" w:type="dxa"/>
            <w:tcBorders>
              <w:bottom w:val="single" w:sz="4" w:space="0" w:color="auto"/>
            </w:tcBorders>
            <w:shd w:val="clear" w:color="auto" w:fill="D5DCE4" w:themeFill="text2" w:themeFillTint="33"/>
          </w:tcPr>
          <w:p w14:paraId="6B737038" w14:textId="77777777" w:rsidR="00564223" w:rsidRPr="00564223" w:rsidRDefault="00564223" w:rsidP="0097193C">
            <w:pPr>
              <w:jc w:val="both"/>
              <w:rPr>
                <w:sz w:val="20"/>
                <w:szCs w:val="20"/>
              </w:rPr>
            </w:pPr>
            <w:proofErr w:type="spellStart"/>
            <w:r w:rsidRPr="00564223">
              <w:rPr>
                <w:sz w:val="20"/>
                <w:szCs w:val="20"/>
              </w:rPr>
              <w:lastRenderedPageBreak/>
              <w:t>Q16</w:t>
            </w:r>
            <w:proofErr w:type="spellEnd"/>
          </w:p>
        </w:tc>
        <w:tc>
          <w:tcPr>
            <w:tcW w:w="1673" w:type="dxa"/>
            <w:tcBorders>
              <w:bottom w:val="single" w:sz="4" w:space="0" w:color="auto"/>
            </w:tcBorders>
            <w:shd w:val="clear" w:color="auto" w:fill="D5DCE4" w:themeFill="text2" w:themeFillTint="33"/>
          </w:tcPr>
          <w:p w14:paraId="46A50EED" w14:textId="77777777" w:rsidR="00564223" w:rsidRPr="00564223" w:rsidRDefault="00564223" w:rsidP="0097193C">
            <w:pPr>
              <w:rPr>
                <w:sz w:val="20"/>
                <w:szCs w:val="20"/>
              </w:rPr>
            </w:pPr>
            <w:r w:rsidRPr="00564223">
              <w:rPr>
                <w:sz w:val="20"/>
                <w:szCs w:val="20"/>
              </w:rPr>
              <w:t xml:space="preserve">Exhibit 1 - Program Agreement </w:t>
            </w:r>
            <w:proofErr w:type="spellStart"/>
            <w:r w:rsidRPr="00564223">
              <w:rPr>
                <w:sz w:val="20"/>
                <w:szCs w:val="20"/>
              </w:rPr>
              <w:t>IV.A.1</w:t>
            </w:r>
            <w:proofErr w:type="spellEnd"/>
            <w:r w:rsidRPr="00564223">
              <w:rPr>
                <w:sz w:val="20"/>
                <w:szCs w:val="20"/>
              </w:rPr>
              <w:t>. (Performance Standards and Penalties)</w:t>
            </w:r>
          </w:p>
        </w:tc>
        <w:tc>
          <w:tcPr>
            <w:tcW w:w="1095" w:type="dxa"/>
            <w:tcBorders>
              <w:bottom w:val="single" w:sz="4" w:space="0" w:color="auto"/>
            </w:tcBorders>
            <w:shd w:val="clear" w:color="auto" w:fill="D5DCE4" w:themeFill="text2" w:themeFillTint="33"/>
          </w:tcPr>
          <w:p w14:paraId="453A7A3B" w14:textId="77777777" w:rsidR="00564223" w:rsidRPr="00564223" w:rsidRDefault="00564223" w:rsidP="0097193C">
            <w:pPr>
              <w:rPr>
                <w:sz w:val="20"/>
                <w:szCs w:val="20"/>
              </w:rPr>
            </w:pPr>
            <w:r w:rsidRPr="00564223">
              <w:rPr>
                <w:sz w:val="20"/>
                <w:szCs w:val="20"/>
              </w:rPr>
              <w:t>Page 48</w:t>
            </w:r>
          </w:p>
        </w:tc>
        <w:tc>
          <w:tcPr>
            <w:tcW w:w="3676" w:type="dxa"/>
            <w:tcBorders>
              <w:bottom w:val="single" w:sz="4" w:space="0" w:color="auto"/>
            </w:tcBorders>
            <w:shd w:val="clear" w:color="auto" w:fill="D5DCE4" w:themeFill="text2" w:themeFillTint="33"/>
          </w:tcPr>
          <w:p w14:paraId="6F7004FE" w14:textId="77777777" w:rsidR="00564223" w:rsidRPr="00564223" w:rsidRDefault="00564223" w:rsidP="0097193C">
            <w:pPr>
              <w:rPr>
                <w:sz w:val="20"/>
                <w:szCs w:val="20"/>
              </w:rPr>
            </w:pPr>
            <w:r w:rsidRPr="00564223">
              <w:rPr>
                <w:sz w:val="20"/>
                <w:szCs w:val="20"/>
              </w:rPr>
              <w:t>Please provide the referenced template to be used to track performance.</w:t>
            </w:r>
          </w:p>
        </w:tc>
        <w:tc>
          <w:tcPr>
            <w:tcW w:w="3214" w:type="dxa"/>
            <w:tcBorders>
              <w:bottom w:val="single" w:sz="4" w:space="0" w:color="auto"/>
            </w:tcBorders>
            <w:shd w:val="clear" w:color="auto" w:fill="D5DCE4" w:themeFill="text2" w:themeFillTint="33"/>
          </w:tcPr>
          <w:p w14:paraId="377C8321" w14:textId="77777777" w:rsidR="00564223" w:rsidRPr="00564223" w:rsidRDefault="00564223" w:rsidP="0097193C">
            <w:pPr>
              <w:rPr>
                <w:sz w:val="20"/>
                <w:szCs w:val="20"/>
              </w:rPr>
            </w:pPr>
            <w:r w:rsidRPr="00564223">
              <w:rPr>
                <w:sz w:val="20"/>
                <w:szCs w:val="20"/>
              </w:rPr>
              <w:t>See the linked template for the quarterly reporting of the customer service performance standards.</w:t>
            </w:r>
          </w:p>
          <w:p w14:paraId="3EBF5065" w14:textId="77777777" w:rsidR="00564223" w:rsidRPr="00564223" w:rsidRDefault="00564223" w:rsidP="0097193C">
            <w:pPr>
              <w:rPr>
                <w:sz w:val="20"/>
                <w:szCs w:val="20"/>
              </w:rPr>
            </w:pPr>
            <w:r w:rsidRPr="00564223">
              <w:rPr>
                <w:sz w:val="20"/>
                <w:szCs w:val="20"/>
              </w:rPr>
              <w:object w:dxaOrig="1539" w:dyaOrig="997" w14:anchorId="0C7EA4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1" o:title=""/>
                </v:shape>
                <o:OLEObject Type="Embed" ProgID="Excel.Sheet.12" ShapeID="_x0000_i1025" DrawAspect="Icon" ObjectID="_1775650469" r:id="rId12"/>
              </w:object>
            </w:r>
          </w:p>
        </w:tc>
      </w:tr>
      <w:tr w:rsidR="00564223" w14:paraId="4C1289CA" w14:textId="77777777" w:rsidTr="009719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27"/>
        </w:trPr>
        <w:tc>
          <w:tcPr>
            <w:tcW w:w="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E91E839" w14:textId="77777777" w:rsidR="00564223" w:rsidRPr="00564223" w:rsidRDefault="00564223" w:rsidP="0097193C">
            <w:pPr>
              <w:spacing w:before="120" w:after="120"/>
              <w:jc w:val="both"/>
              <w:rPr>
                <w:sz w:val="20"/>
                <w:szCs w:val="20"/>
              </w:rPr>
            </w:pPr>
            <w:proofErr w:type="spellStart"/>
            <w:r w:rsidRPr="00564223">
              <w:rPr>
                <w:sz w:val="20"/>
                <w:szCs w:val="20"/>
              </w:rPr>
              <w:t>Q17</w:t>
            </w:r>
            <w:proofErr w:type="spellEnd"/>
          </w:p>
        </w:tc>
        <w:tc>
          <w:tcPr>
            <w:tcW w:w="168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E86B7DC" w14:textId="77777777" w:rsidR="00564223" w:rsidRPr="00564223" w:rsidRDefault="00564223" w:rsidP="0097193C">
            <w:pPr>
              <w:spacing w:before="120" w:after="120"/>
              <w:rPr>
                <w:sz w:val="20"/>
                <w:szCs w:val="20"/>
              </w:rPr>
            </w:pPr>
            <w:r w:rsidRPr="00564223">
              <w:rPr>
                <w:sz w:val="20"/>
                <w:szCs w:val="20"/>
              </w:rPr>
              <w:t>RFP 1.9 Table 9 (Calendar of Events - May 1, 2025 due date for SOC 2 Type 2 Report)</w:t>
            </w:r>
          </w:p>
        </w:tc>
        <w:tc>
          <w:tcPr>
            <w:tcW w:w="10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1485501" w14:textId="77777777" w:rsidR="00564223" w:rsidRPr="00564223" w:rsidRDefault="00564223" w:rsidP="0097193C">
            <w:pPr>
              <w:spacing w:before="120" w:after="120"/>
              <w:jc w:val="both"/>
              <w:rPr>
                <w:sz w:val="20"/>
                <w:szCs w:val="20"/>
              </w:rPr>
            </w:pPr>
            <w:r w:rsidRPr="00564223">
              <w:rPr>
                <w:sz w:val="20"/>
                <w:szCs w:val="20"/>
              </w:rPr>
              <w:t>Page 21</w:t>
            </w:r>
          </w:p>
        </w:tc>
        <w:tc>
          <w:tcPr>
            <w:tcW w:w="367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EF1D849" w14:textId="77777777" w:rsidR="00564223" w:rsidRPr="00564223" w:rsidRDefault="00564223" w:rsidP="0097193C">
            <w:pPr>
              <w:spacing w:before="120" w:after="120"/>
              <w:rPr>
                <w:sz w:val="20"/>
                <w:szCs w:val="20"/>
              </w:rPr>
            </w:pPr>
            <w:r w:rsidRPr="00564223">
              <w:rPr>
                <w:sz w:val="20"/>
                <w:szCs w:val="20"/>
              </w:rPr>
              <w:t xml:space="preserve">Can WI ETF please confirm if there will be a waiver available to allow for use of the HITRUST Common Security Framework in lieu of the SOC 2 Type 2 report?  </w:t>
            </w:r>
          </w:p>
        </w:tc>
        <w:tc>
          <w:tcPr>
            <w:tcW w:w="3214" w:type="dxa"/>
            <w:tcBorders>
              <w:top w:val="single" w:sz="4" w:space="0" w:color="auto"/>
              <w:left w:val="single" w:sz="4" w:space="0" w:color="auto"/>
              <w:bottom w:val="single" w:sz="4" w:space="0" w:color="auto"/>
              <w:right w:val="single" w:sz="4" w:space="0" w:color="auto"/>
            </w:tcBorders>
            <w:shd w:val="clear" w:color="auto" w:fill="E7E6E6" w:themeFill="background2"/>
          </w:tcPr>
          <w:p w14:paraId="4F0348F4" w14:textId="77777777" w:rsidR="00564223" w:rsidRPr="00564223" w:rsidRDefault="00564223" w:rsidP="0097193C">
            <w:pPr>
              <w:rPr>
                <w:rFonts w:eastAsiaTheme="minorHAnsi"/>
                <w:color w:val="000000"/>
                <w:sz w:val="20"/>
                <w:szCs w:val="20"/>
              </w:rPr>
            </w:pPr>
            <w:r w:rsidRPr="00564223">
              <w:rPr>
                <w:color w:val="000000"/>
                <w:sz w:val="20"/>
                <w:szCs w:val="20"/>
              </w:rPr>
              <w:t xml:space="preserve">The Group Insurance Board indicated at its November 2023 meeting a preference for the SOC 2 Type 2 report starting on January 1, 2026. ETF is working to develop a risk framework and policies to apply this guidance, which will be shared with the Board and vendors as soon as is practicable and prior to the due date for the RFP responses.  </w:t>
            </w:r>
          </w:p>
        </w:tc>
      </w:tr>
      <w:tr w:rsidR="00564223" w14:paraId="7AB9EE6E" w14:textId="77777777" w:rsidTr="0097193C">
        <w:tc>
          <w:tcPr>
            <w:tcW w:w="602" w:type="dxa"/>
            <w:shd w:val="clear" w:color="auto" w:fill="D5DCE4" w:themeFill="text2" w:themeFillTint="33"/>
          </w:tcPr>
          <w:p w14:paraId="7E3CD95B" w14:textId="77777777" w:rsidR="00564223" w:rsidRPr="00564223" w:rsidRDefault="00564223" w:rsidP="0097193C">
            <w:pPr>
              <w:jc w:val="both"/>
              <w:rPr>
                <w:sz w:val="20"/>
                <w:szCs w:val="20"/>
              </w:rPr>
            </w:pPr>
            <w:proofErr w:type="spellStart"/>
            <w:r w:rsidRPr="00564223">
              <w:rPr>
                <w:sz w:val="20"/>
                <w:szCs w:val="20"/>
              </w:rPr>
              <w:lastRenderedPageBreak/>
              <w:t>Q18</w:t>
            </w:r>
            <w:proofErr w:type="spellEnd"/>
          </w:p>
        </w:tc>
        <w:tc>
          <w:tcPr>
            <w:tcW w:w="1673" w:type="dxa"/>
            <w:shd w:val="clear" w:color="auto" w:fill="D5DCE4" w:themeFill="text2" w:themeFillTint="33"/>
          </w:tcPr>
          <w:p w14:paraId="7F6B6321" w14:textId="77777777" w:rsidR="00564223" w:rsidRPr="00564223" w:rsidRDefault="00564223" w:rsidP="0097193C">
            <w:pPr>
              <w:rPr>
                <w:sz w:val="20"/>
                <w:szCs w:val="20"/>
              </w:rPr>
            </w:pPr>
            <w:r w:rsidRPr="00564223">
              <w:rPr>
                <w:sz w:val="20"/>
                <w:szCs w:val="20"/>
              </w:rPr>
              <w:t xml:space="preserve">RFP </w:t>
            </w:r>
            <w:proofErr w:type="spellStart"/>
            <w:r w:rsidRPr="00564223">
              <w:rPr>
                <w:sz w:val="20"/>
                <w:szCs w:val="20"/>
              </w:rPr>
              <w:t>3.3.b</w:t>
            </w:r>
            <w:proofErr w:type="spellEnd"/>
            <w:r w:rsidRPr="00564223">
              <w:rPr>
                <w:sz w:val="20"/>
                <w:szCs w:val="20"/>
              </w:rPr>
              <w:t>. (Evaluation Criteria)</w:t>
            </w:r>
          </w:p>
        </w:tc>
        <w:tc>
          <w:tcPr>
            <w:tcW w:w="1095" w:type="dxa"/>
            <w:shd w:val="clear" w:color="auto" w:fill="D5DCE4" w:themeFill="text2" w:themeFillTint="33"/>
          </w:tcPr>
          <w:p w14:paraId="55C6D88E" w14:textId="77777777" w:rsidR="00564223" w:rsidRPr="00564223" w:rsidRDefault="00564223" w:rsidP="0097193C">
            <w:pPr>
              <w:rPr>
                <w:sz w:val="20"/>
                <w:szCs w:val="20"/>
              </w:rPr>
            </w:pPr>
          </w:p>
        </w:tc>
        <w:tc>
          <w:tcPr>
            <w:tcW w:w="3676" w:type="dxa"/>
            <w:shd w:val="clear" w:color="auto" w:fill="D5DCE4" w:themeFill="text2" w:themeFillTint="33"/>
          </w:tcPr>
          <w:p w14:paraId="486EAB42" w14:textId="77777777" w:rsidR="00564223" w:rsidRPr="00564223" w:rsidRDefault="00564223" w:rsidP="0097193C">
            <w:pPr>
              <w:rPr>
                <w:sz w:val="20"/>
                <w:szCs w:val="20"/>
              </w:rPr>
            </w:pPr>
            <w:r w:rsidRPr="00564223">
              <w:rPr>
                <w:sz w:val="20"/>
                <w:szCs w:val="20"/>
              </w:rPr>
              <w:t xml:space="preserve">A SOC 2 Type 2 audit is currently on our organizational roadmap but may not be completed prior to the stated May 1, 2025 deadline. Would the Department consider our HITRUST certification in place of the SOC 2 Type 2 audit report and/or letter of attestation? </w:t>
            </w:r>
          </w:p>
        </w:tc>
        <w:tc>
          <w:tcPr>
            <w:tcW w:w="3214" w:type="dxa"/>
            <w:shd w:val="clear" w:color="auto" w:fill="D5DCE4" w:themeFill="text2" w:themeFillTint="33"/>
          </w:tcPr>
          <w:p w14:paraId="58ACDD7D" w14:textId="77777777" w:rsidR="00564223" w:rsidRPr="00564223" w:rsidRDefault="00564223" w:rsidP="0097193C">
            <w:pPr>
              <w:rPr>
                <w:sz w:val="20"/>
                <w:szCs w:val="20"/>
              </w:rPr>
            </w:pPr>
            <w:r w:rsidRPr="00564223">
              <w:rPr>
                <w:color w:val="000000"/>
                <w:sz w:val="20"/>
                <w:szCs w:val="20"/>
              </w:rPr>
              <w:t xml:space="preserve">The Group Insurance Board indicated at its November 2023 meeting a preference for the SOC 2 Type 2 report starting on January 1, 2026. ETF is working to develop a risk framework and policies to apply this guidance, which will be shared with the Board and vendors as soon as is practicable and prior to the due date for the RFP responses.  </w:t>
            </w:r>
          </w:p>
        </w:tc>
      </w:tr>
      <w:tr w:rsidR="00564223" w14:paraId="0A918C9A" w14:textId="77777777" w:rsidTr="0097193C">
        <w:tc>
          <w:tcPr>
            <w:tcW w:w="602" w:type="dxa"/>
            <w:shd w:val="clear" w:color="auto" w:fill="E7E6E6" w:themeFill="background2"/>
          </w:tcPr>
          <w:p w14:paraId="49FCF2FD" w14:textId="77777777" w:rsidR="00564223" w:rsidRPr="00564223" w:rsidRDefault="00564223" w:rsidP="0097193C">
            <w:pPr>
              <w:jc w:val="both"/>
              <w:rPr>
                <w:sz w:val="20"/>
                <w:szCs w:val="20"/>
              </w:rPr>
            </w:pPr>
            <w:proofErr w:type="spellStart"/>
            <w:r w:rsidRPr="00564223">
              <w:rPr>
                <w:sz w:val="20"/>
                <w:szCs w:val="20"/>
              </w:rPr>
              <w:t>Q19</w:t>
            </w:r>
            <w:proofErr w:type="spellEnd"/>
          </w:p>
        </w:tc>
        <w:tc>
          <w:tcPr>
            <w:tcW w:w="1673" w:type="dxa"/>
            <w:shd w:val="clear" w:color="auto" w:fill="E7E6E6" w:themeFill="background2"/>
          </w:tcPr>
          <w:p w14:paraId="0802A5A9" w14:textId="77777777" w:rsidR="00564223" w:rsidRPr="00564223" w:rsidRDefault="00564223" w:rsidP="0097193C">
            <w:pPr>
              <w:rPr>
                <w:sz w:val="20"/>
                <w:szCs w:val="20"/>
              </w:rPr>
            </w:pPr>
            <w:r w:rsidRPr="00564223">
              <w:rPr>
                <w:sz w:val="20"/>
                <w:szCs w:val="20"/>
              </w:rPr>
              <w:t>Table 3</w:t>
            </w:r>
          </w:p>
        </w:tc>
        <w:tc>
          <w:tcPr>
            <w:tcW w:w="1095" w:type="dxa"/>
            <w:shd w:val="clear" w:color="auto" w:fill="E7E6E6" w:themeFill="background2"/>
          </w:tcPr>
          <w:p w14:paraId="6899FE63" w14:textId="77777777" w:rsidR="00564223" w:rsidRPr="00564223" w:rsidRDefault="00564223" w:rsidP="0097193C">
            <w:pPr>
              <w:rPr>
                <w:sz w:val="20"/>
                <w:szCs w:val="20"/>
              </w:rPr>
            </w:pPr>
            <w:r w:rsidRPr="00564223">
              <w:rPr>
                <w:sz w:val="20"/>
                <w:szCs w:val="20"/>
              </w:rPr>
              <w:t>Page 10</w:t>
            </w:r>
          </w:p>
        </w:tc>
        <w:tc>
          <w:tcPr>
            <w:tcW w:w="3676" w:type="dxa"/>
            <w:shd w:val="clear" w:color="auto" w:fill="E7E6E6" w:themeFill="background2"/>
          </w:tcPr>
          <w:p w14:paraId="76C10C6E" w14:textId="77777777" w:rsidR="00564223" w:rsidRPr="00564223" w:rsidRDefault="00564223" w:rsidP="0097193C">
            <w:pPr>
              <w:rPr>
                <w:sz w:val="20"/>
                <w:szCs w:val="20"/>
              </w:rPr>
            </w:pPr>
            <w:r w:rsidRPr="00564223">
              <w:rPr>
                <w:sz w:val="20"/>
                <w:szCs w:val="20"/>
              </w:rPr>
              <w:t>Can you provide more details on the skilled nursing benefit? Specially on the coverage for the non-Medicare approved facilities.</w:t>
            </w:r>
          </w:p>
        </w:tc>
        <w:tc>
          <w:tcPr>
            <w:tcW w:w="3214" w:type="dxa"/>
            <w:shd w:val="clear" w:color="auto" w:fill="E7E6E6" w:themeFill="background2"/>
          </w:tcPr>
          <w:p w14:paraId="6706CA73" w14:textId="77777777" w:rsidR="00564223" w:rsidRPr="00564223" w:rsidRDefault="00564223" w:rsidP="0097193C">
            <w:pPr>
              <w:rPr>
                <w:sz w:val="20"/>
                <w:szCs w:val="20"/>
              </w:rPr>
            </w:pPr>
            <w:r w:rsidRPr="00564223">
              <w:rPr>
                <w:sz w:val="20"/>
                <w:szCs w:val="20"/>
              </w:rPr>
              <w:t xml:space="preserve">The linked </w:t>
            </w:r>
            <w:hyperlink r:id="rId13" w:history="1">
              <w:r w:rsidRPr="00564223">
                <w:rPr>
                  <w:rStyle w:val="Hyperlink"/>
                  <w:sz w:val="20"/>
                  <w:szCs w:val="20"/>
                </w:rPr>
                <w:t>chart</w:t>
              </w:r>
            </w:hyperlink>
            <w:r w:rsidRPr="00564223">
              <w:rPr>
                <w:sz w:val="20"/>
                <w:szCs w:val="20"/>
              </w:rPr>
              <w:t xml:space="preserve"> may be helpful. See the two rows for Skilled Nursing Facility (</w:t>
            </w:r>
            <w:proofErr w:type="spellStart"/>
            <w:r w:rsidRPr="00564223">
              <w:rPr>
                <w:sz w:val="20"/>
                <w:szCs w:val="20"/>
              </w:rPr>
              <w:t>SNF</w:t>
            </w:r>
            <w:proofErr w:type="spellEnd"/>
            <w:r w:rsidRPr="00564223">
              <w:rPr>
                <w:sz w:val="20"/>
                <w:szCs w:val="20"/>
              </w:rPr>
              <w:t xml:space="preserve">). Medicare Plus will pay up to 30 calendar Days at a non-Medicare approved </w:t>
            </w:r>
            <w:proofErr w:type="spellStart"/>
            <w:r w:rsidRPr="00564223">
              <w:rPr>
                <w:sz w:val="20"/>
                <w:szCs w:val="20"/>
              </w:rPr>
              <w:t>SNF</w:t>
            </w:r>
            <w:proofErr w:type="spellEnd"/>
            <w:r w:rsidRPr="00564223">
              <w:rPr>
                <w:sz w:val="20"/>
                <w:szCs w:val="20"/>
              </w:rPr>
              <w:t xml:space="preserve"> due to Wis. Stat. </w:t>
            </w:r>
            <w:hyperlink r:id="rId14" w:history="1">
              <w:r w:rsidRPr="00564223">
                <w:rPr>
                  <w:rStyle w:val="Hyperlink"/>
                  <w:sz w:val="20"/>
                  <w:szCs w:val="20"/>
                </w:rPr>
                <w:t>632.895(3)</w:t>
              </w:r>
            </w:hyperlink>
            <w:r w:rsidRPr="00564223">
              <w:rPr>
                <w:sz w:val="20"/>
                <w:szCs w:val="20"/>
              </w:rPr>
              <w:t xml:space="preserve">. </w:t>
            </w:r>
          </w:p>
        </w:tc>
      </w:tr>
      <w:tr w:rsidR="00564223" w:rsidRPr="00DB757E" w14:paraId="2DFDA62F" w14:textId="77777777" w:rsidTr="0097193C">
        <w:tc>
          <w:tcPr>
            <w:tcW w:w="602" w:type="dxa"/>
            <w:shd w:val="clear" w:color="auto" w:fill="D5DCE4" w:themeFill="text2" w:themeFillTint="33"/>
          </w:tcPr>
          <w:p w14:paraId="0CCB95DD" w14:textId="77777777" w:rsidR="00564223" w:rsidRPr="00564223" w:rsidRDefault="00564223" w:rsidP="0097193C">
            <w:pPr>
              <w:jc w:val="both"/>
              <w:rPr>
                <w:sz w:val="20"/>
                <w:szCs w:val="20"/>
              </w:rPr>
            </w:pPr>
            <w:bookmarkStart w:id="3" w:name="_Hlk163206309"/>
            <w:proofErr w:type="spellStart"/>
            <w:r w:rsidRPr="00564223">
              <w:rPr>
                <w:sz w:val="20"/>
                <w:szCs w:val="20"/>
              </w:rPr>
              <w:t>Q20</w:t>
            </w:r>
            <w:proofErr w:type="spellEnd"/>
          </w:p>
        </w:tc>
        <w:tc>
          <w:tcPr>
            <w:tcW w:w="1673" w:type="dxa"/>
            <w:shd w:val="clear" w:color="auto" w:fill="D5DCE4" w:themeFill="text2" w:themeFillTint="33"/>
          </w:tcPr>
          <w:p w14:paraId="7940EF50" w14:textId="77777777" w:rsidR="00564223" w:rsidRPr="00564223" w:rsidRDefault="00564223" w:rsidP="0097193C">
            <w:pPr>
              <w:rPr>
                <w:sz w:val="20"/>
                <w:szCs w:val="20"/>
              </w:rPr>
            </w:pPr>
            <w:r w:rsidRPr="00564223">
              <w:rPr>
                <w:sz w:val="20"/>
                <w:szCs w:val="20"/>
              </w:rPr>
              <w:t>WI ETF MA Financial Summary</w:t>
            </w:r>
          </w:p>
        </w:tc>
        <w:tc>
          <w:tcPr>
            <w:tcW w:w="1095" w:type="dxa"/>
            <w:shd w:val="clear" w:color="auto" w:fill="D5DCE4" w:themeFill="text2" w:themeFillTint="33"/>
          </w:tcPr>
          <w:p w14:paraId="4B29BA76" w14:textId="77777777" w:rsidR="00564223" w:rsidRPr="00564223" w:rsidRDefault="00564223" w:rsidP="0097193C">
            <w:pPr>
              <w:rPr>
                <w:sz w:val="20"/>
                <w:szCs w:val="20"/>
              </w:rPr>
            </w:pPr>
            <w:r w:rsidRPr="00564223">
              <w:rPr>
                <w:sz w:val="20"/>
                <w:szCs w:val="20"/>
              </w:rPr>
              <w:t>Financial Summary tab</w:t>
            </w:r>
          </w:p>
        </w:tc>
        <w:tc>
          <w:tcPr>
            <w:tcW w:w="3676" w:type="dxa"/>
            <w:shd w:val="clear" w:color="auto" w:fill="D5DCE4" w:themeFill="text2" w:themeFillTint="33"/>
          </w:tcPr>
          <w:p w14:paraId="1AE31803" w14:textId="77777777" w:rsidR="00564223" w:rsidRPr="00564223" w:rsidRDefault="00564223" w:rsidP="0097193C">
            <w:pPr>
              <w:rPr>
                <w:sz w:val="20"/>
                <w:szCs w:val="20"/>
              </w:rPr>
            </w:pPr>
            <w:r w:rsidRPr="00564223">
              <w:rPr>
                <w:sz w:val="20"/>
                <w:szCs w:val="20"/>
              </w:rPr>
              <w:t xml:space="preserve">a. Does the claim/financial data that was submitted combine PPO and HMO products? </w:t>
            </w:r>
          </w:p>
          <w:p w14:paraId="151CE816" w14:textId="77777777" w:rsidR="00564223" w:rsidRPr="00564223" w:rsidRDefault="00564223" w:rsidP="0097193C">
            <w:pPr>
              <w:rPr>
                <w:sz w:val="20"/>
                <w:szCs w:val="20"/>
              </w:rPr>
            </w:pPr>
            <w:r w:rsidRPr="00564223">
              <w:rPr>
                <w:sz w:val="20"/>
                <w:szCs w:val="20"/>
              </w:rPr>
              <w:t xml:space="preserve">b. If so, can the claim data be separated? </w:t>
            </w:r>
          </w:p>
          <w:p w14:paraId="110041ED" w14:textId="77777777" w:rsidR="00564223" w:rsidRPr="00564223" w:rsidRDefault="00564223" w:rsidP="0097193C">
            <w:pPr>
              <w:rPr>
                <w:sz w:val="20"/>
                <w:szCs w:val="20"/>
              </w:rPr>
            </w:pPr>
            <w:r w:rsidRPr="00564223">
              <w:rPr>
                <w:sz w:val="20"/>
                <w:szCs w:val="20"/>
              </w:rPr>
              <w:t>c. Also, could we get a census to indicate out of the 17,000 how the enrollment is distributed between the two products?</w:t>
            </w:r>
          </w:p>
        </w:tc>
        <w:tc>
          <w:tcPr>
            <w:tcW w:w="3214" w:type="dxa"/>
            <w:shd w:val="clear" w:color="auto" w:fill="D5DCE4" w:themeFill="text2" w:themeFillTint="33"/>
          </w:tcPr>
          <w:p w14:paraId="51EDE1D6" w14:textId="77777777" w:rsidR="00564223" w:rsidRPr="00564223" w:rsidRDefault="00564223" w:rsidP="0097193C">
            <w:pPr>
              <w:rPr>
                <w:color w:val="000000" w:themeColor="text1"/>
                <w:sz w:val="20"/>
                <w:szCs w:val="20"/>
              </w:rPr>
            </w:pPr>
            <w:r w:rsidRPr="00564223">
              <w:rPr>
                <w:color w:val="000000" w:themeColor="text1"/>
                <w:sz w:val="20"/>
                <w:szCs w:val="20"/>
              </w:rPr>
              <w:t>There is only a MA PPO product currently.</w:t>
            </w:r>
          </w:p>
        </w:tc>
      </w:tr>
      <w:tr w:rsidR="00564223" w:rsidRPr="00DB757E" w14:paraId="32F03676" w14:textId="77777777" w:rsidTr="0097193C">
        <w:tc>
          <w:tcPr>
            <w:tcW w:w="602" w:type="dxa"/>
            <w:shd w:val="clear" w:color="auto" w:fill="E7E6E6" w:themeFill="background2"/>
          </w:tcPr>
          <w:p w14:paraId="76DD31F0" w14:textId="77777777" w:rsidR="00564223" w:rsidRPr="00564223" w:rsidRDefault="00564223" w:rsidP="0097193C">
            <w:pPr>
              <w:jc w:val="both"/>
              <w:rPr>
                <w:sz w:val="20"/>
                <w:szCs w:val="20"/>
              </w:rPr>
            </w:pPr>
            <w:proofErr w:type="spellStart"/>
            <w:r w:rsidRPr="00564223">
              <w:rPr>
                <w:sz w:val="20"/>
                <w:szCs w:val="20"/>
              </w:rPr>
              <w:t>Q21</w:t>
            </w:r>
            <w:proofErr w:type="spellEnd"/>
          </w:p>
        </w:tc>
        <w:tc>
          <w:tcPr>
            <w:tcW w:w="1673" w:type="dxa"/>
            <w:shd w:val="clear" w:color="auto" w:fill="E7E6E6" w:themeFill="background2"/>
          </w:tcPr>
          <w:p w14:paraId="1ED1AE5D" w14:textId="77777777" w:rsidR="00564223" w:rsidRPr="00564223" w:rsidRDefault="00564223" w:rsidP="0097193C">
            <w:pPr>
              <w:rPr>
                <w:sz w:val="20"/>
                <w:szCs w:val="20"/>
              </w:rPr>
            </w:pPr>
            <w:r w:rsidRPr="00564223">
              <w:rPr>
                <w:sz w:val="20"/>
                <w:szCs w:val="20"/>
              </w:rPr>
              <w:t>RFP Section 1.3.6 Table 5</w:t>
            </w:r>
          </w:p>
        </w:tc>
        <w:tc>
          <w:tcPr>
            <w:tcW w:w="1095" w:type="dxa"/>
            <w:shd w:val="clear" w:color="auto" w:fill="E7E6E6" w:themeFill="background2"/>
          </w:tcPr>
          <w:p w14:paraId="6D1AE818" w14:textId="77777777" w:rsidR="00564223" w:rsidRPr="00564223" w:rsidRDefault="00564223" w:rsidP="0097193C">
            <w:pPr>
              <w:rPr>
                <w:sz w:val="20"/>
                <w:szCs w:val="20"/>
              </w:rPr>
            </w:pPr>
            <w:r w:rsidRPr="00564223">
              <w:rPr>
                <w:sz w:val="20"/>
                <w:szCs w:val="20"/>
              </w:rPr>
              <w:t>Page 13</w:t>
            </w:r>
          </w:p>
        </w:tc>
        <w:tc>
          <w:tcPr>
            <w:tcW w:w="3676" w:type="dxa"/>
            <w:shd w:val="clear" w:color="auto" w:fill="E7E6E6" w:themeFill="background2"/>
          </w:tcPr>
          <w:p w14:paraId="3C46D768" w14:textId="77777777" w:rsidR="00564223" w:rsidRPr="00564223" w:rsidRDefault="00564223" w:rsidP="0097193C">
            <w:pPr>
              <w:rPr>
                <w:sz w:val="20"/>
                <w:szCs w:val="20"/>
              </w:rPr>
            </w:pPr>
            <w:r w:rsidRPr="00564223">
              <w:rPr>
                <w:sz w:val="20"/>
                <w:szCs w:val="20"/>
              </w:rPr>
              <w:t xml:space="preserve">a. On average, how many new lives enroll in the Medicare Plus plan each year? </w:t>
            </w:r>
          </w:p>
          <w:p w14:paraId="04C27FD6" w14:textId="77777777" w:rsidR="00564223" w:rsidRPr="00564223" w:rsidRDefault="00564223" w:rsidP="0097193C">
            <w:pPr>
              <w:rPr>
                <w:sz w:val="20"/>
                <w:szCs w:val="20"/>
              </w:rPr>
            </w:pPr>
            <w:r w:rsidRPr="00564223">
              <w:rPr>
                <w:sz w:val="20"/>
                <w:szCs w:val="20"/>
              </w:rPr>
              <w:t>b. What percentage go to the Medicare Plus plan vs Medicare Advantage plan?</w:t>
            </w:r>
          </w:p>
        </w:tc>
        <w:tc>
          <w:tcPr>
            <w:tcW w:w="3214" w:type="dxa"/>
            <w:shd w:val="clear" w:color="auto" w:fill="E7E6E6" w:themeFill="background2"/>
          </w:tcPr>
          <w:p w14:paraId="34AEDA0F" w14:textId="77777777" w:rsidR="00564223" w:rsidRPr="00564223" w:rsidRDefault="00564223" w:rsidP="0097193C">
            <w:pPr>
              <w:rPr>
                <w:color w:val="000000" w:themeColor="text1"/>
                <w:sz w:val="20"/>
                <w:szCs w:val="20"/>
              </w:rPr>
            </w:pPr>
            <w:r w:rsidRPr="00564223">
              <w:rPr>
                <w:sz w:val="20"/>
                <w:szCs w:val="20"/>
              </w:rPr>
              <w:t xml:space="preserve">The data file, </w:t>
            </w:r>
            <w:r w:rsidRPr="00564223">
              <w:rPr>
                <w:i/>
                <w:iCs/>
                <w:sz w:val="20"/>
                <w:szCs w:val="20"/>
              </w:rPr>
              <w:t>WI ETF Med+ Financial Summary</w:t>
            </w:r>
            <w:r w:rsidRPr="00564223">
              <w:rPr>
                <w:sz w:val="20"/>
                <w:szCs w:val="20"/>
              </w:rPr>
              <w:t>, in the individual secure workspace(s), provides monthly enrollment by plan.   </w:t>
            </w:r>
          </w:p>
        </w:tc>
      </w:tr>
      <w:tr w:rsidR="00564223" w:rsidRPr="00DB757E" w14:paraId="1BEE0DBA" w14:textId="77777777" w:rsidTr="0097193C">
        <w:tc>
          <w:tcPr>
            <w:tcW w:w="602" w:type="dxa"/>
            <w:shd w:val="clear" w:color="auto" w:fill="D5DCE4" w:themeFill="text2" w:themeFillTint="33"/>
          </w:tcPr>
          <w:p w14:paraId="44660B82" w14:textId="77777777" w:rsidR="00564223" w:rsidRPr="00564223" w:rsidRDefault="00564223" w:rsidP="0097193C">
            <w:pPr>
              <w:jc w:val="both"/>
              <w:rPr>
                <w:sz w:val="20"/>
                <w:szCs w:val="20"/>
              </w:rPr>
            </w:pPr>
            <w:proofErr w:type="spellStart"/>
            <w:r w:rsidRPr="00564223">
              <w:rPr>
                <w:sz w:val="20"/>
                <w:szCs w:val="20"/>
              </w:rPr>
              <w:t>Q22</w:t>
            </w:r>
            <w:proofErr w:type="spellEnd"/>
          </w:p>
        </w:tc>
        <w:tc>
          <w:tcPr>
            <w:tcW w:w="1673" w:type="dxa"/>
            <w:shd w:val="clear" w:color="auto" w:fill="D5DCE4" w:themeFill="text2" w:themeFillTint="33"/>
          </w:tcPr>
          <w:p w14:paraId="19D44E60" w14:textId="77777777" w:rsidR="00564223" w:rsidRPr="00564223" w:rsidRDefault="00564223" w:rsidP="0097193C">
            <w:pPr>
              <w:rPr>
                <w:sz w:val="20"/>
                <w:szCs w:val="20"/>
              </w:rPr>
            </w:pPr>
          </w:p>
        </w:tc>
        <w:tc>
          <w:tcPr>
            <w:tcW w:w="1095" w:type="dxa"/>
            <w:shd w:val="clear" w:color="auto" w:fill="D5DCE4" w:themeFill="text2" w:themeFillTint="33"/>
          </w:tcPr>
          <w:p w14:paraId="00CF6BAE" w14:textId="77777777" w:rsidR="00564223" w:rsidRPr="00564223" w:rsidRDefault="00564223" w:rsidP="0097193C">
            <w:pPr>
              <w:rPr>
                <w:sz w:val="20"/>
                <w:szCs w:val="20"/>
              </w:rPr>
            </w:pPr>
          </w:p>
        </w:tc>
        <w:tc>
          <w:tcPr>
            <w:tcW w:w="3676" w:type="dxa"/>
            <w:shd w:val="clear" w:color="auto" w:fill="D5DCE4" w:themeFill="text2" w:themeFillTint="33"/>
          </w:tcPr>
          <w:p w14:paraId="3062AB88" w14:textId="77777777" w:rsidR="00564223" w:rsidRPr="00564223" w:rsidRDefault="00564223" w:rsidP="0097193C">
            <w:pPr>
              <w:rPr>
                <w:sz w:val="20"/>
                <w:szCs w:val="20"/>
              </w:rPr>
            </w:pPr>
            <w:r w:rsidRPr="00564223">
              <w:rPr>
                <w:kern w:val="2"/>
                <w:sz w:val="20"/>
                <w:szCs w:val="20"/>
              </w:rPr>
              <w:t xml:space="preserve">Are current medical only rates for the Medicare Plus plan available? </w:t>
            </w:r>
            <w:hyperlink r:id="rId15" w:history="1">
              <w:r w:rsidRPr="00564223">
                <w:rPr>
                  <w:rStyle w:val="Hyperlink"/>
                  <w:kern w:val="2"/>
                  <w:sz w:val="20"/>
                  <w:szCs w:val="20"/>
                </w:rPr>
                <w:t>https://etf.wi.gov/publications/24et-2108/download?inline=</w:t>
              </w:r>
            </w:hyperlink>
            <w:r w:rsidRPr="00564223">
              <w:rPr>
                <w:kern w:val="2"/>
                <w:sz w:val="20"/>
                <w:szCs w:val="20"/>
              </w:rPr>
              <w:t xml:space="preserve"> </w:t>
            </w:r>
          </w:p>
        </w:tc>
        <w:tc>
          <w:tcPr>
            <w:tcW w:w="3214" w:type="dxa"/>
            <w:shd w:val="clear" w:color="auto" w:fill="D5DCE4" w:themeFill="text2" w:themeFillTint="33"/>
          </w:tcPr>
          <w:p w14:paraId="545B5886" w14:textId="77777777" w:rsidR="00564223" w:rsidRPr="00564223" w:rsidRDefault="00564223" w:rsidP="0097193C">
            <w:pPr>
              <w:rPr>
                <w:color w:val="000000" w:themeColor="text1"/>
                <w:sz w:val="20"/>
                <w:szCs w:val="20"/>
              </w:rPr>
            </w:pPr>
            <w:r w:rsidRPr="00564223">
              <w:rPr>
                <w:color w:val="000000" w:themeColor="text1"/>
                <w:sz w:val="20"/>
                <w:szCs w:val="20"/>
              </w:rPr>
              <w:t>Medicare Plus (medical only) individual rates:</w:t>
            </w:r>
          </w:p>
          <w:p w14:paraId="4F5FE309" w14:textId="77777777" w:rsidR="00564223" w:rsidRPr="00564223" w:rsidRDefault="00564223" w:rsidP="0097193C">
            <w:pPr>
              <w:rPr>
                <w:color w:val="000000" w:themeColor="text1"/>
                <w:sz w:val="20"/>
                <w:szCs w:val="20"/>
              </w:rPr>
            </w:pPr>
            <w:r w:rsidRPr="00564223">
              <w:rPr>
                <w:color w:val="000000" w:themeColor="text1"/>
                <w:sz w:val="20"/>
                <w:szCs w:val="20"/>
              </w:rPr>
              <w:t xml:space="preserve">2024: $238.74 State, </w:t>
            </w:r>
          </w:p>
          <w:p w14:paraId="2C95A40A" w14:textId="77777777" w:rsidR="00564223" w:rsidRPr="00564223" w:rsidRDefault="00564223" w:rsidP="0097193C">
            <w:pPr>
              <w:rPr>
                <w:color w:val="000000" w:themeColor="text1"/>
                <w:sz w:val="20"/>
                <w:szCs w:val="20"/>
              </w:rPr>
            </w:pPr>
            <w:r w:rsidRPr="00564223">
              <w:rPr>
                <w:color w:val="000000" w:themeColor="text1"/>
                <w:sz w:val="20"/>
                <w:szCs w:val="20"/>
              </w:rPr>
              <w:t xml:space="preserve">  $253.64 Local</w:t>
            </w:r>
          </w:p>
          <w:p w14:paraId="03C2F053" w14:textId="77777777" w:rsidR="00564223" w:rsidRPr="00564223" w:rsidRDefault="00564223" w:rsidP="0097193C">
            <w:pPr>
              <w:rPr>
                <w:color w:val="000000" w:themeColor="text1"/>
                <w:sz w:val="20"/>
                <w:szCs w:val="20"/>
              </w:rPr>
            </w:pPr>
            <w:r w:rsidRPr="00564223">
              <w:rPr>
                <w:color w:val="000000" w:themeColor="text1"/>
                <w:sz w:val="20"/>
                <w:szCs w:val="20"/>
              </w:rPr>
              <w:t xml:space="preserve">2023: $230.92 State, </w:t>
            </w:r>
          </w:p>
          <w:p w14:paraId="688A47B6" w14:textId="77777777" w:rsidR="00564223" w:rsidRPr="00564223" w:rsidRDefault="00564223" w:rsidP="0097193C">
            <w:pPr>
              <w:rPr>
                <w:color w:val="000000" w:themeColor="text1"/>
                <w:sz w:val="20"/>
                <w:szCs w:val="20"/>
              </w:rPr>
            </w:pPr>
            <w:r w:rsidRPr="00564223">
              <w:rPr>
                <w:color w:val="000000" w:themeColor="text1"/>
                <w:sz w:val="20"/>
                <w:szCs w:val="20"/>
              </w:rPr>
              <w:t xml:space="preserve">  $245.32 Local</w:t>
            </w:r>
          </w:p>
        </w:tc>
      </w:tr>
      <w:tr w:rsidR="00564223" w:rsidRPr="00DB757E" w14:paraId="53E53A90" w14:textId="77777777" w:rsidTr="0097193C">
        <w:trPr>
          <w:trHeight w:val="530"/>
        </w:trPr>
        <w:tc>
          <w:tcPr>
            <w:tcW w:w="602" w:type="dxa"/>
            <w:shd w:val="clear" w:color="auto" w:fill="E7E6E6" w:themeFill="background2"/>
          </w:tcPr>
          <w:p w14:paraId="16914EAC" w14:textId="77777777" w:rsidR="00564223" w:rsidRPr="00564223" w:rsidRDefault="00564223" w:rsidP="0097193C">
            <w:pPr>
              <w:jc w:val="both"/>
              <w:rPr>
                <w:sz w:val="20"/>
                <w:szCs w:val="20"/>
              </w:rPr>
            </w:pPr>
            <w:proofErr w:type="spellStart"/>
            <w:r w:rsidRPr="00564223">
              <w:rPr>
                <w:sz w:val="20"/>
                <w:szCs w:val="20"/>
              </w:rPr>
              <w:t>Q23</w:t>
            </w:r>
            <w:proofErr w:type="spellEnd"/>
          </w:p>
        </w:tc>
        <w:tc>
          <w:tcPr>
            <w:tcW w:w="1673" w:type="dxa"/>
            <w:shd w:val="clear" w:color="auto" w:fill="E7E6E6" w:themeFill="background2"/>
          </w:tcPr>
          <w:p w14:paraId="5F83D581" w14:textId="77777777" w:rsidR="00564223" w:rsidRPr="00564223" w:rsidRDefault="00564223" w:rsidP="0097193C">
            <w:pPr>
              <w:rPr>
                <w:sz w:val="20"/>
                <w:szCs w:val="20"/>
              </w:rPr>
            </w:pPr>
          </w:p>
        </w:tc>
        <w:tc>
          <w:tcPr>
            <w:tcW w:w="1095" w:type="dxa"/>
            <w:shd w:val="clear" w:color="auto" w:fill="E7E6E6" w:themeFill="background2"/>
          </w:tcPr>
          <w:p w14:paraId="5FA29878" w14:textId="77777777" w:rsidR="00564223" w:rsidRPr="00564223" w:rsidRDefault="00564223" w:rsidP="0097193C">
            <w:pPr>
              <w:rPr>
                <w:sz w:val="20"/>
                <w:szCs w:val="20"/>
              </w:rPr>
            </w:pPr>
          </w:p>
        </w:tc>
        <w:tc>
          <w:tcPr>
            <w:tcW w:w="3676" w:type="dxa"/>
            <w:shd w:val="clear" w:color="auto" w:fill="E7E6E6" w:themeFill="background2"/>
          </w:tcPr>
          <w:p w14:paraId="7BC00EEE" w14:textId="77777777" w:rsidR="00564223" w:rsidRPr="00564223" w:rsidRDefault="00564223" w:rsidP="0097193C">
            <w:pPr>
              <w:pStyle w:val="ListParagraph"/>
              <w:spacing w:after="0"/>
              <w:ind w:left="0"/>
              <w:rPr>
                <w:rFonts w:ascii="Arial" w:hAnsi="Arial" w:cs="Arial"/>
                <w:color w:val="000000"/>
                <w:kern w:val="2"/>
                <w:sz w:val="20"/>
                <w:szCs w:val="20"/>
              </w:rPr>
            </w:pPr>
            <w:r w:rsidRPr="00564223">
              <w:rPr>
                <w:rFonts w:ascii="Arial" w:hAnsi="Arial" w:cs="Arial"/>
                <w:color w:val="000000"/>
                <w:kern w:val="2"/>
                <w:sz w:val="20"/>
                <w:szCs w:val="20"/>
              </w:rPr>
              <w:t xml:space="preserve">Please confirm the claims provided are for the Medicare Plus population only. </w:t>
            </w:r>
          </w:p>
          <w:p w14:paraId="1209AA6A" w14:textId="77777777" w:rsidR="00564223" w:rsidRPr="00564223" w:rsidRDefault="00564223" w:rsidP="0097193C">
            <w:pPr>
              <w:rPr>
                <w:sz w:val="20"/>
                <w:szCs w:val="20"/>
              </w:rPr>
            </w:pPr>
          </w:p>
        </w:tc>
        <w:tc>
          <w:tcPr>
            <w:tcW w:w="3214" w:type="dxa"/>
            <w:shd w:val="clear" w:color="auto" w:fill="E7E6E6" w:themeFill="background2"/>
          </w:tcPr>
          <w:p w14:paraId="17DB51FE" w14:textId="77777777" w:rsidR="00564223" w:rsidRPr="00564223" w:rsidRDefault="00564223" w:rsidP="0097193C">
            <w:pPr>
              <w:rPr>
                <w:color w:val="000000" w:themeColor="text1"/>
                <w:sz w:val="20"/>
                <w:szCs w:val="20"/>
              </w:rPr>
            </w:pPr>
            <w:r w:rsidRPr="00564223">
              <w:rPr>
                <w:color w:val="000000" w:themeColor="text1"/>
                <w:sz w:val="20"/>
                <w:szCs w:val="20"/>
              </w:rPr>
              <w:t>Confirmed.</w:t>
            </w:r>
          </w:p>
        </w:tc>
      </w:tr>
      <w:tr w:rsidR="00564223" w:rsidRPr="00DB757E" w14:paraId="021A3A4A" w14:textId="77777777" w:rsidTr="0097193C">
        <w:tc>
          <w:tcPr>
            <w:tcW w:w="602" w:type="dxa"/>
            <w:shd w:val="clear" w:color="auto" w:fill="D5DCE4" w:themeFill="text2" w:themeFillTint="33"/>
          </w:tcPr>
          <w:p w14:paraId="1C04967C" w14:textId="77777777" w:rsidR="00564223" w:rsidRPr="00564223" w:rsidRDefault="00564223" w:rsidP="0097193C">
            <w:pPr>
              <w:jc w:val="both"/>
              <w:rPr>
                <w:sz w:val="20"/>
                <w:szCs w:val="20"/>
              </w:rPr>
            </w:pPr>
            <w:proofErr w:type="spellStart"/>
            <w:r w:rsidRPr="00564223">
              <w:rPr>
                <w:sz w:val="20"/>
                <w:szCs w:val="20"/>
              </w:rPr>
              <w:t>Q24</w:t>
            </w:r>
            <w:proofErr w:type="spellEnd"/>
          </w:p>
        </w:tc>
        <w:tc>
          <w:tcPr>
            <w:tcW w:w="1673" w:type="dxa"/>
            <w:shd w:val="clear" w:color="auto" w:fill="D5DCE4" w:themeFill="text2" w:themeFillTint="33"/>
          </w:tcPr>
          <w:p w14:paraId="770DC34C" w14:textId="77777777" w:rsidR="00564223" w:rsidRPr="00564223" w:rsidRDefault="00564223" w:rsidP="0097193C">
            <w:pPr>
              <w:rPr>
                <w:sz w:val="20"/>
                <w:szCs w:val="20"/>
              </w:rPr>
            </w:pPr>
          </w:p>
        </w:tc>
        <w:tc>
          <w:tcPr>
            <w:tcW w:w="1095" w:type="dxa"/>
            <w:shd w:val="clear" w:color="auto" w:fill="D5DCE4" w:themeFill="text2" w:themeFillTint="33"/>
          </w:tcPr>
          <w:p w14:paraId="660A39E9" w14:textId="77777777" w:rsidR="00564223" w:rsidRPr="00564223" w:rsidRDefault="00564223" w:rsidP="0097193C">
            <w:pPr>
              <w:rPr>
                <w:sz w:val="20"/>
                <w:szCs w:val="20"/>
              </w:rPr>
            </w:pPr>
          </w:p>
        </w:tc>
        <w:tc>
          <w:tcPr>
            <w:tcW w:w="3676" w:type="dxa"/>
            <w:shd w:val="clear" w:color="auto" w:fill="D5DCE4" w:themeFill="text2" w:themeFillTint="33"/>
          </w:tcPr>
          <w:p w14:paraId="315C90DD" w14:textId="77777777" w:rsidR="00564223" w:rsidRPr="00564223" w:rsidRDefault="00564223" w:rsidP="0097193C">
            <w:pPr>
              <w:pStyle w:val="ListParagraph"/>
              <w:ind w:left="0"/>
              <w:rPr>
                <w:rFonts w:ascii="Arial" w:hAnsi="Arial" w:cs="Arial"/>
                <w:color w:val="000000"/>
                <w:kern w:val="2"/>
                <w:sz w:val="20"/>
                <w:szCs w:val="20"/>
              </w:rPr>
            </w:pPr>
            <w:r w:rsidRPr="00564223">
              <w:rPr>
                <w:rFonts w:ascii="Arial" w:hAnsi="Arial" w:cs="Arial"/>
                <w:color w:val="000000"/>
                <w:kern w:val="2"/>
                <w:sz w:val="20"/>
                <w:szCs w:val="20"/>
              </w:rPr>
              <w:t>Is 3 years of claims history available?</w:t>
            </w:r>
          </w:p>
          <w:p w14:paraId="472E335E" w14:textId="77777777" w:rsidR="00564223" w:rsidRPr="00564223" w:rsidRDefault="00564223" w:rsidP="0097193C">
            <w:pPr>
              <w:rPr>
                <w:sz w:val="20"/>
                <w:szCs w:val="20"/>
              </w:rPr>
            </w:pPr>
          </w:p>
        </w:tc>
        <w:tc>
          <w:tcPr>
            <w:tcW w:w="3214" w:type="dxa"/>
            <w:shd w:val="clear" w:color="auto" w:fill="D5DCE4" w:themeFill="text2" w:themeFillTint="33"/>
          </w:tcPr>
          <w:p w14:paraId="5275891F" w14:textId="77777777" w:rsidR="00564223" w:rsidRPr="00564223" w:rsidRDefault="00564223" w:rsidP="0097193C">
            <w:pPr>
              <w:rPr>
                <w:color w:val="000000" w:themeColor="text1"/>
                <w:sz w:val="20"/>
                <w:szCs w:val="20"/>
              </w:rPr>
            </w:pPr>
            <w:r w:rsidRPr="00564223">
              <w:rPr>
                <w:color w:val="000000" w:themeColor="text1"/>
                <w:sz w:val="20"/>
                <w:szCs w:val="20"/>
              </w:rPr>
              <w:t>Additional claims data will not be provided at this time.</w:t>
            </w:r>
          </w:p>
        </w:tc>
      </w:tr>
      <w:tr w:rsidR="00564223" w:rsidRPr="00DB757E" w14:paraId="4A20A8CD" w14:textId="77777777" w:rsidTr="0097193C">
        <w:tc>
          <w:tcPr>
            <w:tcW w:w="602" w:type="dxa"/>
            <w:shd w:val="clear" w:color="auto" w:fill="E7E6E6" w:themeFill="background2"/>
          </w:tcPr>
          <w:p w14:paraId="433ADC0F" w14:textId="77777777" w:rsidR="00564223" w:rsidRPr="00564223" w:rsidRDefault="00564223" w:rsidP="0097193C">
            <w:pPr>
              <w:jc w:val="both"/>
              <w:rPr>
                <w:sz w:val="20"/>
                <w:szCs w:val="20"/>
              </w:rPr>
            </w:pPr>
            <w:proofErr w:type="spellStart"/>
            <w:r w:rsidRPr="00564223">
              <w:rPr>
                <w:sz w:val="20"/>
                <w:szCs w:val="20"/>
              </w:rPr>
              <w:t>Q25</w:t>
            </w:r>
            <w:proofErr w:type="spellEnd"/>
          </w:p>
        </w:tc>
        <w:tc>
          <w:tcPr>
            <w:tcW w:w="1673" w:type="dxa"/>
            <w:shd w:val="clear" w:color="auto" w:fill="E7E6E6" w:themeFill="background2"/>
          </w:tcPr>
          <w:p w14:paraId="4419079D" w14:textId="77777777" w:rsidR="00564223" w:rsidRPr="00564223" w:rsidRDefault="00564223" w:rsidP="0097193C">
            <w:pPr>
              <w:rPr>
                <w:sz w:val="20"/>
                <w:szCs w:val="20"/>
              </w:rPr>
            </w:pPr>
          </w:p>
        </w:tc>
        <w:tc>
          <w:tcPr>
            <w:tcW w:w="1095" w:type="dxa"/>
            <w:shd w:val="clear" w:color="auto" w:fill="E7E6E6" w:themeFill="background2"/>
          </w:tcPr>
          <w:p w14:paraId="0F45EC8D" w14:textId="77777777" w:rsidR="00564223" w:rsidRPr="00564223" w:rsidRDefault="00564223" w:rsidP="0097193C">
            <w:pPr>
              <w:rPr>
                <w:sz w:val="20"/>
                <w:szCs w:val="20"/>
              </w:rPr>
            </w:pPr>
          </w:p>
        </w:tc>
        <w:tc>
          <w:tcPr>
            <w:tcW w:w="3676" w:type="dxa"/>
            <w:shd w:val="clear" w:color="auto" w:fill="E7E6E6" w:themeFill="background2"/>
          </w:tcPr>
          <w:p w14:paraId="0890A0E3" w14:textId="77777777" w:rsidR="00564223" w:rsidRPr="00564223" w:rsidRDefault="00564223" w:rsidP="0097193C">
            <w:pPr>
              <w:rPr>
                <w:sz w:val="20"/>
                <w:szCs w:val="20"/>
              </w:rPr>
            </w:pPr>
            <w:r w:rsidRPr="00564223">
              <w:rPr>
                <w:color w:val="000000"/>
                <w:kern w:val="2"/>
                <w:sz w:val="20"/>
                <w:szCs w:val="20"/>
              </w:rPr>
              <w:t>Is a Large Claims report available for the claims provided?</w:t>
            </w:r>
          </w:p>
        </w:tc>
        <w:tc>
          <w:tcPr>
            <w:tcW w:w="3214" w:type="dxa"/>
            <w:shd w:val="clear" w:color="auto" w:fill="E7E6E6" w:themeFill="background2"/>
          </w:tcPr>
          <w:p w14:paraId="2F78D8C4" w14:textId="77777777" w:rsidR="00564223" w:rsidRPr="00564223" w:rsidRDefault="00564223" w:rsidP="0097193C">
            <w:pPr>
              <w:rPr>
                <w:color w:val="000000" w:themeColor="text1"/>
                <w:sz w:val="20"/>
                <w:szCs w:val="20"/>
              </w:rPr>
            </w:pPr>
            <w:r w:rsidRPr="00564223">
              <w:rPr>
                <w:color w:val="000000" w:themeColor="text1"/>
                <w:sz w:val="20"/>
                <w:szCs w:val="20"/>
              </w:rPr>
              <w:t>A large claims report is not available.</w:t>
            </w:r>
          </w:p>
        </w:tc>
      </w:tr>
      <w:tr w:rsidR="00564223" w14:paraId="6F911AAC" w14:textId="77777777" w:rsidTr="0097193C">
        <w:tc>
          <w:tcPr>
            <w:tcW w:w="602" w:type="dxa"/>
            <w:shd w:val="clear" w:color="auto" w:fill="D5DCE4" w:themeFill="text2" w:themeFillTint="33"/>
          </w:tcPr>
          <w:p w14:paraId="61F892E4" w14:textId="77777777" w:rsidR="00564223" w:rsidRPr="00564223" w:rsidRDefault="00564223" w:rsidP="0097193C">
            <w:pPr>
              <w:jc w:val="both"/>
              <w:rPr>
                <w:sz w:val="20"/>
                <w:szCs w:val="20"/>
              </w:rPr>
            </w:pPr>
            <w:proofErr w:type="spellStart"/>
            <w:r w:rsidRPr="00564223">
              <w:rPr>
                <w:sz w:val="20"/>
                <w:szCs w:val="20"/>
              </w:rPr>
              <w:lastRenderedPageBreak/>
              <w:t>Q26</w:t>
            </w:r>
            <w:proofErr w:type="spellEnd"/>
          </w:p>
        </w:tc>
        <w:tc>
          <w:tcPr>
            <w:tcW w:w="1673" w:type="dxa"/>
            <w:shd w:val="clear" w:color="auto" w:fill="D5DCE4" w:themeFill="text2" w:themeFillTint="33"/>
          </w:tcPr>
          <w:p w14:paraId="18282D8A" w14:textId="77777777" w:rsidR="00564223" w:rsidRPr="00564223" w:rsidRDefault="00564223" w:rsidP="0097193C">
            <w:pPr>
              <w:rPr>
                <w:sz w:val="20"/>
                <w:szCs w:val="20"/>
              </w:rPr>
            </w:pPr>
          </w:p>
        </w:tc>
        <w:tc>
          <w:tcPr>
            <w:tcW w:w="1095" w:type="dxa"/>
            <w:shd w:val="clear" w:color="auto" w:fill="D5DCE4" w:themeFill="text2" w:themeFillTint="33"/>
          </w:tcPr>
          <w:p w14:paraId="5867D282" w14:textId="77777777" w:rsidR="00564223" w:rsidRPr="00564223" w:rsidRDefault="00564223" w:rsidP="0097193C">
            <w:pPr>
              <w:rPr>
                <w:sz w:val="20"/>
                <w:szCs w:val="20"/>
              </w:rPr>
            </w:pPr>
          </w:p>
        </w:tc>
        <w:tc>
          <w:tcPr>
            <w:tcW w:w="3676" w:type="dxa"/>
            <w:shd w:val="clear" w:color="auto" w:fill="D5DCE4" w:themeFill="text2" w:themeFillTint="33"/>
          </w:tcPr>
          <w:p w14:paraId="2203BB17" w14:textId="77777777" w:rsidR="00564223" w:rsidRPr="00564223" w:rsidRDefault="00564223" w:rsidP="0097193C">
            <w:pPr>
              <w:pStyle w:val="ListParagraph"/>
              <w:ind w:left="0"/>
              <w:rPr>
                <w:rFonts w:ascii="Arial" w:hAnsi="Arial" w:cs="Arial"/>
                <w:b/>
                <w:bCs/>
                <w:color w:val="000000"/>
                <w:kern w:val="2"/>
                <w:sz w:val="20"/>
                <w:szCs w:val="20"/>
              </w:rPr>
            </w:pPr>
            <w:r w:rsidRPr="00564223">
              <w:rPr>
                <w:rFonts w:ascii="Arial" w:hAnsi="Arial" w:cs="Arial"/>
                <w:color w:val="000000"/>
                <w:kern w:val="2"/>
                <w:sz w:val="20"/>
                <w:szCs w:val="20"/>
              </w:rPr>
              <w:t>Are the claims in the report incurred or paid?</w:t>
            </w:r>
          </w:p>
          <w:p w14:paraId="042D307C" w14:textId="77777777" w:rsidR="00564223" w:rsidRPr="00564223" w:rsidRDefault="00564223" w:rsidP="00564223">
            <w:pPr>
              <w:pStyle w:val="ListParagraph"/>
              <w:numPr>
                <w:ilvl w:val="1"/>
                <w:numId w:val="9"/>
              </w:numPr>
              <w:spacing w:before="0" w:after="0"/>
              <w:ind w:left="331"/>
              <w:contextualSpacing w:val="0"/>
              <w:rPr>
                <w:rFonts w:ascii="Arial" w:hAnsi="Arial" w:cs="Arial"/>
                <w:i/>
                <w:iCs/>
                <w:kern w:val="2"/>
                <w:sz w:val="20"/>
                <w:szCs w:val="20"/>
              </w:rPr>
            </w:pPr>
            <w:r w:rsidRPr="00564223">
              <w:rPr>
                <w:rFonts w:ascii="Arial" w:hAnsi="Arial" w:cs="Arial"/>
                <w:i/>
                <w:iCs/>
                <w:color w:val="000000"/>
                <w:kern w:val="2"/>
                <w:sz w:val="20"/>
                <w:szCs w:val="20"/>
              </w:rPr>
              <w:t xml:space="preserve">The provided Claims report shows the following: </w:t>
            </w:r>
          </w:p>
          <w:p w14:paraId="54A9B154" w14:textId="77777777" w:rsidR="00564223" w:rsidRPr="00564223" w:rsidRDefault="00564223" w:rsidP="00564223">
            <w:pPr>
              <w:pStyle w:val="ListParagraph"/>
              <w:numPr>
                <w:ilvl w:val="0"/>
                <w:numId w:val="10"/>
              </w:numPr>
              <w:spacing w:before="0" w:after="0"/>
              <w:ind w:left="511" w:hanging="180"/>
              <w:contextualSpacing w:val="0"/>
              <w:rPr>
                <w:rFonts w:ascii="Arial" w:eastAsiaTheme="minorHAnsi" w:hAnsi="Arial" w:cs="Arial"/>
                <w:kern w:val="2"/>
                <w:sz w:val="20"/>
                <w:szCs w:val="20"/>
              </w:rPr>
            </w:pPr>
            <w:r w:rsidRPr="00564223">
              <w:rPr>
                <w:rFonts w:ascii="Arial" w:hAnsi="Arial" w:cs="Arial"/>
                <w:kern w:val="2"/>
                <w:sz w:val="20"/>
                <w:szCs w:val="20"/>
              </w:rPr>
              <w:t xml:space="preserve">Enrollment- Month and year </w:t>
            </w:r>
          </w:p>
          <w:p w14:paraId="0D04CAC5" w14:textId="77777777" w:rsidR="00564223" w:rsidRPr="00564223" w:rsidRDefault="00564223" w:rsidP="00564223">
            <w:pPr>
              <w:pStyle w:val="ListParagraph"/>
              <w:numPr>
                <w:ilvl w:val="0"/>
                <w:numId w:val="10"/>
              </w:numPr>
              <w:spacing w:before="0" w:after="0"/>
              <w:ind w:left="511" w:hanging="180"/>
              <w:contextualSpacing w:val="0"/>
              <w:rPr>
                <w:rFonts w:ascii="Arial" w:hAnsi="Arial" w:cs="Arial"/>
                <w:kern w:val="2"/>
                <w:sz w:val="20"/>
                <w:szCs w:val="20"/>
              </w:rPr>
            </w:pPr>
            <w:r w:rsidRPr="00564223">
              <w:rPr>
                <w:rFonts w:ascii="Arial" w:hAnsi="Arial" w:cs="Arial"/>
                <w:kern w:val="2"/>
                <w:sz w:val="20"/>
                <w:szCs w:val="20"/>
              </w:rPr>
              <w:t>Medical – month and year of based on service dates and plan paid amount.</w:t>
            </w:r>
          </w:p>
          <w:p w14:paraId="0BE3A696" w14:textId="77777777" w:rsidR="00564223" w:rsidRPr="00564223" w:rsidRDefault="00564223" w:rsidP="0097193C">
            <w:pPr>
              <w:rPr>
                <w:sz w:val="20"/>
                <w:szCs w:val="20"/>
              </w:rPr>
            </w:pPr>
            <w:r w:rsidRPr="00564223">
              <w:rPr>
                <w:kern w:val="2"/>
                <w:sz w:val="20"/>
                <w:szCs w:val="20"/>
              </w:rPr>
              <w:t>Can you confirm these claims do not include pharmacy claims, admin fees or any additional charges?</w:t>
            </w:r>
          </w:p>
        </w:tc>
        <w:tc>
          <w:tcPr>
            <w:tcW w:w="3214" w:type="dxa"/>
            <w:shd w:val="clear" w:color="auto" w:fill="D5DCE4" w:themeFill="text2" w:themeFillTint="33"/>
          </w:tcPr>
          <w:p w14:paraId="377A72C1" w14:textId="77777777" w:rsidR="00564223" w:rsidRPr="00564223" w:rsidRDefault="00564223" w:rsidP="0097193C">
            <w:pPr>
              <w:rPr>
                <w:color w:val="000000" w:themeColor="text1"/>
                <w:sz w:val="20"/>
                <w:szCs w:val="20"/>
              </w:rPr>
            </w:pPr>
            <w:r w:rsidRPr="00564223">
              <w:rPr>
                <w:color w:val="000000" w:themeColor="text1"/>
                <w:sz w:val="20"/>
                <w:szCs w:val="20"/>
              </w:rPr>
              <w:t>As indicat</w:t>
            </w:r>
            <w:r w:rsidRPr="00564223">
              <w:rPr>
                <w:sz w:val="20"/>
                <w:szCs w:val="20"/>
              </w:rPr>
              <w:t xml:space="preserve">ed in the file, </w:t>
            </w:r>
            <w:r w:rsidRPr="00564223">
              <w:rPr>
                <w:i/>
                <w:iCs/>
                <w:sz w:val="20"/>
                <w:szCs w:val="20"/>
              </w:rPr>
              <w:t>WI ETF MA Financial Summary</w:t>
            </w:r>
            <w:r w:rsidRPr="00564223">
              <w:rPr>
                <w:sz w:val="20"/>
                <w:szCs w:val="20"/>
              </w:rPr>
              <w:t xml:space="preserve">, in the individual secure workspace(s), Medical is based on service dates. Medical </w:t>
            </w:r>
            <w:r w:rsidRPr="00564223">
              <w:rPr>
                <w:color w:val="000000" w:themeColor="text1"/>
                <w:sz w:val="20"/>
                <w:szCs w:val="20"/>
              </w:rPr>
              <w:t xml:space="preserve">Claims include: all FFS and capitated provider claims including Part B Rx claims - with </w:t>
            </w:r>
            <w:proofErr w:type="spellStart"/>
            <w:r w:rsidRPr="00564223">
              <w:rPr>
                <w:color w:val="000000" w:themeColor="text1"/>
                <w:sz w:val="20"/>
                <w:szCs w:val="20"/>
              </w:rPr>
              <w:t>IBNR</w:t>
            </w:r>
            <w:proofErr w:type="spellEnd"/>
            <w:r w:rsidRPr="00564223">
              <w:rPr>
                <w:color w:val="000000" w:themeColor="text1"/>
                <w:sz w:val="20"/>
                <w:szCs w:val="20"/>
              </w:rPr>
              <w:t>.</w:t>
            </w:r>
          </w:p>
        </w:tc>
      </w:tr>
      <w:bookmarkEnd w:id="3"/>
      <w:tr w:rsidR="00564223" w14:paraId="63F779F2" w14:textId="77777777" w:rsidTr="0097193C">
        <w:tc>
          <w:tcPr>
            <w:tcW w:w="602" w:type="dxa"/>
            <w:shd w:val="clear" w:color="auto" w:fill="E7E6E6" w:themeFill="background2"/>
          </w:tcPr>
          <w:p w14:paraId="2CB91A0B" w14:textId="77777777" w:rsidR="00564223" w:rsidRPr="00564223" w:rsidRDefault="00564223" w:rsidP="0097193C">
            <w:pPr>
              <w:jc w:val="both"/>
              <w:rPr>
                <w:sz w:val="20"/>
                <w:szCs w:val="20"/>
              </w:rPr>
            </w:pPr>
            <w:proofErr w:type="spellStart"/>
            <w:r w:rsidRPr="00564223">
              <w:rPr>
                <w:sz w:val="20"/>
                <w:szCs w:val="20"/>
              </w:rPr>
              <w:t>Q27</w:t>
            </w:r>
            <w:proofErr w:type="spellEnd"/>
          </w:p>
        </w:tc>
        <w:tc>
          <w:tcPr>
            <w:tcW w:w="1673" w:type="dxa"/>
            <w:shd w:val="clear" w:color="auto" w:fill="E7E6E6" w:themeFill="background2"/>
          </w:tcPr>
          <w:p w14:paraId="5428DEA7" w14:textId="77777777" w:rsidR="00564223" w:rsidRPr="00564223" w:rsidRDefault="00564223" w:rsidP="0097193C">
            <w:pPr>
              <w:rPr>
                <w:sz w:val="20"/>
                <w:szCs w:val="20"/>
              </w:rPr>
            </w:pPr>
            <w:r w:rsidRPr="00564223">
              <w:rPr>
                <w:color w:val="000000"/>
                <w:sz w:val="20"/>
                <w:szCs w:val="20"/>
              </w:rPr>
              <w:t>WI ETF MA Financial Summary</w:t>
            </w:r>
          </w:p>
        </w:tc>
        <w:tc>
          <w:tcPr>
            <w:tcW w:w="1095" w:type="dxa"/>
            <w:shd w:val="clear" w:color="auto" w:fill="E7E6E6" w:themeFill="background2"/>
          </w:tcPr>
          <w:p w14:paraId="3EF29186" w14:textId="77777777" w:rsidR="00564223" w:rsidRPr="00564223" w:rsidRDefault="00564223" w:rsidP="0097193C">
            <w:pPr>
              <w:rPr>
                <w:sz w:val="20"/>
                <w:szCs w:val="20"/>
              </w:rPr>
            </w:pPr>
            <w:r w:rsidRPr="00564223">
              <w:rPr>
                <w:color w:val="000000"/>
                <w:sz w:val="20"/>
                <w:szCs w:val="20"/>
              </w:rPr>
              <w:t>Financial Summary tab</w:t>
            </w:r>
          </w:p>
        </w:tc>
        <w:tc>
          <w:tcPr>
            <w:tcW w:w="3676" w:type="dxa"/>
            <w:shd w:val="clear" w:color="auto" w:fill="E7E6E6" w:themeFill="background2"/>
          </w:tcPr>
          <w:p w14:paraId="7AC587E2" w14:textId="77777777" w:rsidR="00564223" w:rsidRPr="00564223" w:rsidRDefault="00564223" w:rsidP="0097193C">
            <w:pPr>
              <w:rPr>
                <w:sz w:val="20"/>
                <w:szCs w:val="20"/>
              </w:rPr>
            </w:pPr>
            <w:r w:rsidRPr="00564223">
              <w:rPr>
                <w:color w:val="242424"/>
                <w:sz w:val="20"/>
                <w:szCs w:val="20"/>
              </w:rPr>
              <w:t xml:space="preserve">Do the risk scores include </w:t>
            </w:r>
            <w:r w:rsidRPr="00564223">
              <w:rPr>
                <w:color w:val="000000"/>
                <w:sz w:val="20"/>
                <w:szCs w:val="20"/>
              </w:rPr>
              <w:t>the</w:t>
            </w:r>
            <w:r w:rsidRPr="00564223">
              <w:rPr>
                <w:color w:val="242424"/>
                <w:sz w:val="20"/>
                <w:szCs w:val="20"/>
              </w:rPr>
              <w:t xml:space="preserve"> 2022 mid-year adjustment or Final Settlement? For</w:t>
            </w:r>
          </w:p>
        </w:tc>
        <w:tc>
          <w:tcPr>
            <w:tcW w:w="3214" w:type="dxa"/>
            <w:shd w:val="clear" w:color="auto" w:fill="E7E6E6" w:themeFill="background2"/>
          </w:tcPr>
          <w:p w14:paraId="06FAF0E0" w14:textId="77777777" w:rsidR="00564223" w:rsidRPr="00564223" w:rsidRDefault="00564223" w:rsidP="0097193C">
            <w:pPr>
              <w:rPr>
                <w:sz w:val="20"/>
                <w:szCs w:val="20"/>
              </w:rPr>
            </w:pPr>
            <w:r w:rsidRPr="00564223">
              <w:rPr>
                <w:color w:val="242424"/>
                <w:sz w:val="20"/>
                <w:szCs w:val="20"/>
              </w:rPr>
              <w:t>For 2022, the risk scores include Final Settlement.</w:t>
            </w:r>
          </w:p>
        </w:tc>
      </w:tr>
      <w:tr w:rsidR="00564223" w14:paraId="1CB39C0A" w14:textId="77777777" w:rsidTr="0097193C">
        <w:tc>
          <w:tcPr>
            <w:tcW w:w="602" w:type="dxa"/>
            <w:shd w:val="clear" w:color="auto" w:fill="D5DCE4" w:themeFill="text2" w:themeFillTint="33"/>
          </w:tcPr>
          <w:p w14:paraId="280E1813" w14:textId="77777777" w:rsidR="00564223" w:rsidRPr="00564223" w:rsidRDefault="00564223" w:rsidP="0097193C">
            <w:pPr>
              <w:jc w:val="both"/>
              <w:rPr>
                <w:sz w:val="20"/>
                <w:szCs w:val="20"/>
              </w:rPr>
            </w:pPr>
            <w:proofErr w:type="spellStart"/>
            <w:r w:rsidRPr="00564223">
              <w:rPr>
                <w:sz w:val="20"/>
                <w:szCs w:val="20"/>
              </w:rPr>
              <w:t>Q28</w:t>
            </w:r>
            <w:proofErr w:type="spellEnd"/>
          </w:p>
        </w:tc>
        <w:tc>
          <w:tcPr>
            <w:tcW w:w="1673" w:type="dxa"/>
            <w:shd w:val="clear" w:color="auto" w:fill="D5DCE4" w:themeFill="text2" w:themeFillTint="33"/>
          </w:tcPr>
          <w:p w14:paraId="3FBE5E9A" w14:textId="77777777" w:rsidR="00564223" w:rsidRPr="00564223" w:rsidRDefault="00564223" w:rsidP="0097193C">
            <w:pPr>
              <w:rPr>
                <w:sz w:val="20"/>
                <w:szCs w:val="20"/>
              </w:rPr>
            </w:pPr>
            <w:r w:rsidRPr="00564223">
              <w:rPr>
                <w:color w:val="000000"/>
                <w:sz w:val="20"/>
                <w:szCs w:val="20"/>
              </w:rPr>
              <w:t>WI ETF MA Financial Summary</w:t>
            </w:r>
          </w:p>
        </w:tc>
        <w:tc>
          <w:tcPr>
            <w:tcW w:w="1095" w:type="dxa"/>
            <w:shd w:val="clear" w:color="auto" w:fill="D5DCE4" w:themeFill="text2" w:themeFillTint="33"/>
          </w:tcPr>
          <w:p w14:paraId="054021A6" w14:textId="77777777" w:rsidR="00564223" w:rsidRPr="00564223" w:rsidRDefault="00564223" w:rsidP="0097193C">
            <w:pPr>
              <w:rPr>
                <w:sz w:val="20"/>
                <w:szCs w:val="20"/>
              </w:rPr>
            </w:pPr>
            <w:r w:rsidRPr="00564223">
              <w:rPr>
                <w:color w:val="000000"/>
                <w:sz w:val="20"/>
                <w:szCs w:val="20"/>
              </w:rPr>
              <w:t>Financial Summary tab</w:t>
            </w:r>
          </w:p>
        </w:tc>
        <w:tc>
          <w:tcPr>
            <w:tcW w:w="3676" w:type="dxa"/>
            <w:shd w:val="clear" w:color="auto" w:fill="D5DCE4" w:themeFill="text2" w:themeFillTint="33"/>
          </w:tcPr>
          <w:p w14:paraId="08579FC5" w14:textId="77777777" w:rsidR="00564223" w:rsidRPr="00564223" w:rsidRDefault="00564223" w:rsidP="0097193C">
            <w:pPr>
              <w:rPr>
                <w:sz w:val="20"/>
                <w:szCs w:val="20"/>
              </w:rPr>
            </w:pPr>
            <w:r w:rsidRPr="00564223">
              <w:rPr>
                <w:color w:val="000000"/>
                <w:sz w:val="20"/>
                <w:szCs w:val="20"/>
              </w:rPr>
              <w:t>There was almost a 20% increase in enrollment from 12/2022 to 1/2023 (one month). What is the explanation for that sudden and sharp enrollment increase?</w:t>
            </w:r>
          </w:p>
        </w:tc>
        <w:tc>
          <w:tcPr>
            <w:tcW w:w="3214" w:type="dxa"/>
            <w:shd w:val="clear" w:color="auto" w:fill="D5DCE4" w:themeFill="text2" w:themeFillTint="33"/>
          </w:tcPr>
          <w:p w14:paraId="24990077" w14:textId="77777777" w:rsidR="00564223" w:rsidRPr="00564223" w:rsidRDefault="00564223" w:rsidP="0097193C">
            <w:pPr>
              <w:rPr>
                <w:sz w:val="20"/>
                <w:szCs w:val="20"/>
              </w:rPr>
            </w:pPr>
            <w:r w:rsidRPr="00564223">
              <w:rPr>
                <w:color w:val="000000"/>
                <w:sz w:val="20"/>
                <w:szCs w:val="20"/>
              </w:rPr>
              <w:t>The Medicare Advantage plan has continuously grown in membership since inception. Since January is the start of a new plan year and is reflective of updated plan elections, it is common to see the most change in enrollment during this month. The enrollment growth rate in January for 2023 is consistent with past years.</w:t>
            </w:r>
          </w:p>
        </w:tc>
      </w:tr>
      <w:tr w:rsidR="00564223" w14:paraId="75D90E18" w14:textId="77777777" w:rsidTr="0097193C">
        <w:tc>
          <w:tcPr>
            <w:tcW w:w="602" w:type="dxa"/>
            <w:shd w:val="clear" w:color="auto" w:fill="E7E6E6" w:themeFill="background2"/>
          </w:tcPr>
          <w:p w14:paraId="3175F810" w14:textId="77777777" w:rsidR="00564223" w:rsidRPr="00564223" w:rsidRDefault="00564223" w:rsidP="0097193C">
            <w:pPr>
              <w:jc w:val="both"/>
              <w:rPr>
                <w:sz w:val="20"/>
                <w:szCs w:val="20"/>
              </w:rPr>
            </w:pPr>
            <w:proofErr w:type="spellStart"/>
            <w:r w:rsidRPr="00564223">
              <w:rPr>
                <w:sz w:val="20"/>
                <w:szCs w:val="20"/>
              </w:rPr>
              <w:t>Q29</w:t>
            </w:r>
            <w:proofErr w:type="spellEnd"/>
          </w:p>
        </w:tc>
        <w:tc>
          <w:tcPr>
            <w:tcW w:w="1673" w:type="dxa"/>
            <w:shd w:val="clear" w:color="auto" w:fill="E7E6E6" w:themeFill="background2"/>
          </w:tcPr>
          <w:p w14:paraId="15BA3BC8" w14:textId="77777777" w:rsidR="00564223" w:rsidRPr="00564223" w:rsidRDefault="00564223" w:rsidP="0097193C">
            <w:pPr>
              <w:rPr>
                <w:sz w:val="20"/>
                <w:szCs w:val="20"/>
              </w:rPr>
            </w:pPr>
            <w:r w:rsidRPr="00564223">
              <w:rPr>
                <w:sz w:val="20"/>
                <w:szCs w:val="20"/>
              </w:rPr>
              <w:t>RFP 1.9 (Calendar of Events)</w:t>
            </w:r>
          </w:p>
        </w:tc>
        <w:tc>
          <w:tcPr>
            <w:tcW w:w="1095" w:type="dxa"/>
            <w:shd w:val="clear" w:color="auto" w:fill="E7E6E6" w:themeFill="background2"/>
          </w:tcPr>
          <w:p w14:paraId="24942373" w14:textId="77777777" w:rsidR="00564223" w:rsidRPr="00564223" w:rsidRDefault="00564223" w:rsidP="0097193C">
            <w:pPr>
              <w:rPr>
                <w:sz w:val="20"/>
                <w:szCs w:val="20"/>
              </w:rPr>
            </w:pPr>
            <w:r w:rsidRPr="00564223">
              <w:rPr>
                <w:sz w:val="20"/>
                <w:szCs w:val="20"/>
              </w:rPr>
              <w:t>21</w:t>
            </w:r>
          </w:p>
        </w:tc>
        <w:tc>
          <w:tcPr>
            <w:tcW w:w="3676" w:type="dxa"/>
            <w:shd w:val="clear" w:color="auto" w:fill="E7E6E6" w:themeFill="background2"/>
          </w:tcPr>
          <w:p w14:paraId="6220CAAB" w14:textId="77777777" w:rsidR="00564223" w:rsidRPr="00564223" w:rsidRDefault="00564223" w:rsidP="0097193C">
            <w:pPr>
              <w:rPr>
                <w:sz w:val="20"/>
                <w:szCs w:val="20"/>
              </w:rPr>
            </w:pPr>
            <w:r w:rsidRPr="00564223">
              <w:rPr>
                <w:sz w:val="20"/>
                <w:szCs w:val="20"/>
              </w:rPr>
              <w:t xml:space="preserve">Please confirm. </w:t>
            </w:r>
          </w:p>
          <w:p w14:paraId="1F0BDE6F" w14:textId="77777777" w:rsidR="00564223" w:rsidRPr="00564223" w:rsidRDefault="00564223" w:rsidP="0097193C">
            <w:pPr>
              <w:rPr>
                <w:sz w:val="20"/>
                <w:szCs w:val="20"/>
              </w:rPr>
            </w:pPr>
          </w:p>
          <w:p w14:paraId="256119C6" w14:textId="77777777" w:rsidR="00564223" w:rsidRPr="00564223" w:rsidRDefault="00564223" w:rsidP="0097193C">
            <w:pPr>
              <w:rPr>
                <w:sz w:val="20"/>
                <w:szCs w:val="20"/>
              </w:rPr>
            </w:pPr>
            <w:r w:rsidRPr="00564223">
              <w:rPr>
                <w:sz w:val="20"/>
                <w:szCs w:val="20"/>
              </w:rPr>
              <w:t>Is the current SOC 2 Type 2 scope with today’s group health insurance program requirement?</w:t>
            </w:r>
          </w:p>
        </w:tc>
        <w:tc>
          <w:tcPr>
            <w:tcW w:w="3214" w:type="dxa"/>
            <w:shd w:val="clear" w:color="auto" w:fill="E7E6E6" w:themeFill="background2"/>
          </w:tcPr>
          <w:p w14:paraId="1926856B" w14:textId="77777777" w:rsidR="00564223" w:rsidRPr="00564223" w:rsidRDefault="00564223" w:rsidP="0097193C">
            <w:pPr>
              <w:rPr>
                <w:sz w:val="20"/>
                <w:szCs w:val="20"/>
              </w:rPr>
            </w:pPr>
            <w:r w:rsidRPr="00564223">
              <w:rPr>
                <w:sz w:val="20"/>
                <w:szCs w:val="20"/>
              </w:rPr>
              <w:t>Yes.</w:t>
            </w:r>
          </w:p>
        </w:tc>
      </w:tr>
      <w:tr w:rsidR="00564223" w14:paraId="5E0277B2" w14:textId="77777777" w:rsidTr="0097193C">
        <w:tc>
          <w:tcPr>
            <w:tcW w:w="602" w:type="dxa"/>
            <w:shd w:val="clear" w:color="auto" w:fill="D5DCE4" w:themeFill="text2" w:themeFillTint="33"/>
          </w:tcPr>
          <w:p w14:paraId="22FE9FB6" w14:textId="77777777" w:rsidR="00564223" w:rsidRPr="00564223" w:rsidRDefault="00564223" w:rsidP="0097193C">
            <w:pPr>
              <w:jc w:val="both"/>
              <w:rPr>
                <w:sz w:val="20"/>
                <w:szCs w:val="20"/>
              </w:rPr>
            </w:pPr>
            <w:proofErr w:type="spellStart"/>
            <w:r w:rsidRPr="00564223">
              <w:rPr>
                <w:sz w:val="20"/>
                <w:szCs w:val="20"/>
              </w:rPr>
              <w:t>Q30</w:t>
            </w:r>
            <w:proofErr w:type="spellEnd"/>
          </w:p>
        </w:tc>
        <w:tc>
          <w:tcPr>
            <w:tcW w:w="1673" w:type="dxa"/>
            <w:shd w:val="clear" w:color="auto" w:fill="D5DCE4" w:themeFill="text2" w:themeFillTint="33"/>
          </w:tcPr>
          <w:p w14:paraId="1D41DFA9" w14:textId="77777777" w:rsidR="00564223" w:rsidRPr="00564223" w:rsidRDefault="00564223" w:rsidP="0097193C">
            <w:pPr>
              <w:rPr>
                <w:sz w:val="20"/>
                <w:szCs w:val="20"/>
              </w:rPr>
            </w:pPr>
            <w:r w:rsidRPr="00564223">
              <w:rPr>
                <w:sz w:val="20"/>
                <w:szCs w:val="20"/>
              </w:rPr>
              <w:t>RFP 1 (General Information)</w:t>
            </w:r>
          </w:p>
        </w:tc>
        <w:tc>
          <w:tcPr>
            <w:tcW w:w="1095" w:type="dxa"/>
            <w:shd w:val="clear" w:color="auto" w:fill="D5DCE4" w:themeFill="text2" w:themeFillTint="33"/>
          </w:tcPr>
          <w:p w14:paraId="032E285F" w14:textId="77777777" w:rsidR="00564223" w:rsidRPr="00564223" w:rsidRDefault="00564223" w:rsidP="0097193C">
            <w:pPr>
              <w:rPr>
                <w:sz w:val="20"/>
                <w:szCs w:val="20"/>
              </w:rPr>
            </w:pPr>
            <w:r w:rsidRPr="00564223">
              <w:rPr>
                <w:sz w:val="20"/>
                <w:szCs w:val="20"/>
              </w:rPr>
              <w:t>4</w:t>
            </w:r>
          </w:p>
        </w:tc>
        <w:tc>
          <w:tcPr>
            <w:tcW w:w="3676" w:type="dxa"/>
            <w:shd w:val="clear" w:color="auto" w:fill="D5DCE4" w:themeFill="text2" w:themeFillTint="33"/>
          </w:tcPr>
          <w:p w14:paraId="1CCF6D0D" w14:textId="77777777" w:rsidR="00564223" w:rsidRPr="00564223" w:rsidRDefault="00564223" w:rsidP="0097193C">
            <w:pPr>
              <w:rPr>
                <w:sz w:val="20"/>
                <w:szCs w:val="20"/>
              </w:rPr>
            </w:pPr>
            <w:r w:rsidRPr="00564223">
              <w:rPr>
                <w:sz w:val="20"/>
                <w:szCs w:val="20"/>
              </w:rPr>
              <w:t xml:space="preserve">Please confirm. </w:t>
            </w:r>
          </w:p>
          <w:p w14:paraId="5C974977" w14:textId="77777777" w:rsidR="00564223" w:rsidRPr="00564223" w:rsidRDefault="00564223" w:rsidP="0097193C">
            <w:pPr>
              <w:rPr>
                <w:sz w:val="20"/>
                <w:szCs w:val="20"/>
              </w:rPr>
            </w:pPr>
          </w:p>
          <w:p w14:paraId="32EA3E7C" w14:textId="77777777" w:rsidR="00564223" w:rsidRPr="00564223" w:rsidRDefault="00564223" w:rsidP="0097193C">
            <w:pPr>
              <w:rPr>
                <w:sz w:val="20"/>
                <w:szCs w:val="20"/>
              </w:rPr>
            </w:pPr>
            <w:r w:rsidRPr="00564223">
              <w:rPr>
                <w:sz w:val="20"/>
                <w:szCs w:val="20"/>
              </w:rPr>
              <w:t>a. Is this RFP specific to Medicare Advantage medical services only?</w:t>
            </w:r>
          </w:p>
          <w:p w14:paraId="5F6BF63C" w14:textId="77777777" w:rsidR="00564223" w:rsidRPr="00564223" w:rsidRDefault="00564223" w:rsidP="0097193C">
            <w:pPr>
              <w:rPr>
                <w:sz w:val="20"/>
                <w:szCs w:val="20"/>
              </w:rPr>
            </w:pPr>
          </w:p>
          <w:p w14:paraId="4BD237CF" w14:textId="77777777" w:rsidR="00564223" w:rsidRPr="00564223" w:rsidRDefault="00564223" w:rsidP="0097193C">
            <w:pPr>
              <w:rPr>
                <w:sz w:val="20"/>
                <w:szCs w:val="20"/>
              </w:rPr>
            </w:pPr>
            <w:r w:rsidRPr="00564223">
              <w:rPr>
                <w:sz w:val="20"/>
                <w:szCs w:val="20"/>
              </w:rPr>
              <w:t>b. Does it include prescription/drug coverage?</w:t>
            </w:r>
          </w:p>
        </w:tc>
        <w:tc>
          <w:tcPr>
            <w:tcW w:w="3214" w:type="dxa"/>
            <w:shd w:val="clear" w:color="auto" w:fill="D5DCE4" w:themeFill="text2" w:themeFillTint="33"/>
          </w:tcPr>
          <w:p w14:paraId="5AB3DC23" w14:textId="77777777" w:rsidR="00564223" w:rsidRPr="00564223" w:rsidRDefault="00564223" w:rsidP="0097193C">
            <w:pPr>
              <w:rPr>
                <w:sz w:val="20"/>
                <w:szCs w:val="20"/>
              </w:rPr>
            </w:pPr>
            <w:r w:rsidRPr="00564223">
              <w:rPr>
                <w:sz w:val="20"/>
                <w:szCs w:val="20"/>
              </w:rPr>
              <w:t>a. RFP Section 1 states: There are two RFPs covered in this document (referred to sometimes herein in the singular as “the RFP” or “this RFP”): a. RFP ETD0050: IYC Medicare Advantage / b. RFP ETD0051: Medicare Plus</w:t>
            </w:r>
          </w:p>
          <w:p w14:paraId="4110FFAF" w14:textId="77777777" w:rsidR="00564223" w:rsidRPr="00564223" w:rsidRDefault="00564223" w:rsidP="0097193C">
            <w:pPr>
              <w:rPr>
                <w:sz w:val="20"/>
                <w:szCs w:val="20"/>
              </w:rPr>
            </w:pPr>
            <w:r w:rsidRPr="00564223">
              <w:rPr>
                <w:sz w:val="20"/>
                <w:szCs w:val="20"/>
              </w:rPr>
              <w:t xml:space="preserve">Vendors may submit a Proposal for one or both of the RFPs. </w:t>
            </w:r>
          </w:p>
          <w:p w14:paraId="442DB5AA" w14:textId="77777777" w:rsidR="00564223" w:rsidRPr="00564223" w:rsidRDefault="00564223" w:rsidP="0097193C">
            <w:pPr>
              <w:rPr>
                <w:sz w:val="20"/>
                <w:szCs w:val="20"/>
              </w:rPr>
            </w:pPr>
          </w:p>
          <w:p w14:paraId="289F137A" w14:textId="77777777" w:rsidR="00564223" w:rsidRPr="00564223" w:rsidRDefault="00564223" w:rsidP="0097193C">
            <w:pPr>
              <w:rPr>
                <w:sz w:val="20"/>
                <w:szCs w:val="20"/>
              </w:rPr>
            </w:pPr>
            <w:r w:rsidRPr="00564223">
              <w:rPr>
                <w:sz w:val="20"/>
                <w:szCs w:val="20"/>
              </w:rPr>
              <w:t>RFP sections applicable to both MA and M+, sections applicable to just MA, and sections applicable to just M+ are specified in the RFP.</w:t>
            </w:r>
          </w:p>
          <w:p w14:paraId="79BAE531" w14:textId="77777777" w:rsidR="00564223" w:rsidRPr="00564223" w:rsidRDefault="00564223" w:rsidP="0097193C">
            <w:pPr>
              <w:rPr>
                <w:sz w:val="20"/>
                <w:szCs w:val="20"/>
              </w:rPr>
            </w:pPr>
          </w:p>
          <w:p w14:paraId="11F779A5" w14:textId="77777777" w:rsidR="00564223" w:rsidRPr="00564223" w:rsidRDefault="00564223" w:rsidP="0097193C">
            <w:pPr>
              <w:rPr>
                <w:sz w:val="20"/>
                <w:szCs w:val="20"/>
              </w:rPr>
            </w:pPr>
            <w:r w:rsidRPr="00564223">
              <w:rPr>
                <w:sz w:val="20"/>
                <w:szCs w:val="20"/>
              </w:rPr>
              <w:lastRenderedPageBreak/>
              <w:t xml:space="preserve">b. The RFP does not include prescription/drug coverage, see RFP Section 1.3.4. which states: Pharmacy Benefits are not part of this RFP.  </w:t>
            </w:r>
          </w:p>
        </w:tc>
      </w:tr>
      <w:tr w:rsidR="00564223" w14:paraId="1887F778" w14:textId="77777777" w:rsidTr="0097193C">
        <w:tc>
          <w:tcPr>
            <w:tcW w:w="602" w:type="dxa"/>
            <w:shd w:val="clear" w:color="auto" w:fill="E7E6E6" w:themeFill="background2"/>
          </w:tcPr>
          <w:p w14:paraId="1FB6CFD1" w14:textId="77777777" w:rsidR="00564223" w:rsidRPr="00564223" w:rsidRDefault="00564223" w:rsidP="0097193C">
            <w:pPr>
              <w:jc w:val="both"/>
              <w:rPr>
                <w:sz w:val="20"/>
                <w:szCs w:val="20"/>
              </w:rPr>
            </w:pPr>
            <w:proofErr w:type="spellStart"/>
            <w:r w:rsidRPr="00564223">
              <w:rPr>
                <w:sz w:val="20"/>
                <w:szCs w:val="20"/>
              </w:rPr>
              <w:lastRenderedPageBreak/>
              <w:t>Q31</w:t>
            </w:r>
            <w:proofErr w:type="spellEnd"/>
          </w:p>
        </w:tc>
        <w:tc>
          <w:tcPr>
            <w:tcW w:w="1673" w:type="dxa"/>
            <w:shd w:val="clear" w:color="auto" w:fill="E7E6E6" w:themeFill="background2"/>
          </w:tcPr>
          <w:p w14:paraId="434F4AD6" w14:textId="77777777" w:rsidR="00564223" w:rsidRPr="00564223" w:rsidRDefault="00564223" w:rsidP="0097193C">
            <w:pPr>
              <w:rPr>
                <w:sz w:val="20"/>
                <w:szCs w:val="20"/>
              </w:rPr>
            </w:pPr>
            <w:r w:rsidRPr="00564223">
              <w:rPr>
                <w:sz w:val="20"/>
                <w:szCs w:val="20"/>
              </w:rPr>
              <w:t xml:space="preserve">RFP 1.3.1 </w:t>
            </w:r>
          </w:p>
          <w:p w14:paraId="53F6B946" w14:textId="77777777" w:rsidR="00564223" w:rsidRPr="00564223" w:rsidRDefault="00564223" w:rsidP="0097193C">
            <w:pPr>
              <w:rPr>
                <w:sz w:val="20"/>
                <w:szCs w:val="20"/>
              </w:rPr>
            </w:pPr>
            <w:r w:rsidRPr="00564223">
              <w:rPr>
                <w:sz w:val="20"/>
                <w:szCs w:val="20"/>
              </w:rPr>
              <w:t xml:space="preserve">(Health Insurance Program Background)  </w:t>
            </w:r>
          </w:p>
          <w:p w14:paraId="3B2EA1D9" w14:textId="77777777" w:rsidR="00564223" w:rsidRPr="00564223" w:rsidRDefault="00564223" w:rsidP="0097193C">
            <w:pPr>
              <w:rPr>
                <w:sz w:val="20"/>
                <w:szCs w:val="20"/>
              </w:rPr>
            </w:pPr>
          </w:p>
        </w:tc>
        <w:tc>
          <w:tcPr>
            <w:tcW w:w="1095" w:type="dxa"/>
            <w:shd w:val="clear" w:color="auto" w:fill="E7E6E6" w:themeFill="background2"/>
          </w:tcPr>
          <w:p w14:paraId="0703DF7F" w14:textId="77777777" w:rsidR="00564223" w:rsidRPr="00564223" w:rsidRDefault="00564223" w:rsidP="0097193C">
            <w:pPr>
              <w:rPr>
                <w:sz w:val="20"/>
                <w:szCs w:val="20"/>
              </w:rPr>
            </w:pPr>
            <w:r w:rsidRPr="00564223">
              <w:rPr>
                <w:sz w:val="20"/>
                <w:szCs w:val="20"/>
              </w:rPr>
              <w:t>12</w:t>
            </w:r>
          </w:p>
        </w:tc>
        <w:tc>
          <w:tcPr>
            <w:tcW w:w="3676" w:type="dxa"/>
            <w:shd w:val="clear" w:color="auto" w:fill="E7E6E6" w:themeFill="background2"/>
          </w:tcPr>
          <w:p w14:paraId="3AA1C090" w14:textId="77777777" w:rsidR="00564223" w:rsidRPr="00564223" w:rsidRDefault="00564223" w:rsidP="0097193C">
            <w:pPr>
              <w:rPr>
                <w:i/>
                <w:iCs/>
                <w:sz w:val="20"/>
                <w:szCs w:val="20"/>
              </w:rPr>
            </w:pPr>
            <w:r w:rsidRPr="00564223">
              <w:rPr>
                <w:i/>
                <w:iCs/>
                <w:sz w:val="20"/>
                <w:szCs w:val="20"/>
              </w:rPr>
              <w:t>“</w:t>
            </w:r>
            <w:proofErr w:type="gramStart"/>
            <w:r w:rsidRPr="00564223">
              <w:rPr>
                <w:i/>
                <w:iCs/>
                <w:sz w:val="20"/>
                <w:szCs w:val="20"/>
              </w:rPr>
              <w:t>…..</w:t>
            </w:r>
            <w:proofErr w:type="gramEnd"/>
            <w:r w:rsidRPr="00564223">
              <w:rPr>
                <w:i/>
                <w:iCs/>
                <w:sz w:val="20"/>
                <w:szCs w:val="20"/>
              </w:rPr>
              <w:t>This self-insured benefit is available to all GHIP members including members enrolled in the Medicare Advantage plan……….Participants have creditable coverage through an Employer Group Waiver Program (EGWP) administered by the current Department-contracted Pharmacy Benefit Manager and are also provided with a wraparound benefit to supplement the EGWP. Pharmacy Benefits are not part of this RFP.”</w:t>
            </w:r>
          </w:p>
          <w:p w14:paraId="6A651B58" w14:textId="77777777" w:rsidR="00564223" w:rsidRPr="00564223" w:rsidRDefault="00564223" w:rsidP="0097193C">
            <w:pPr>
              <w:rPr>
                <w:sz w:val="20"/>
                <w:szCs w:val="20"/>
              </w:rPr>
            </w:pPr>
          </w:p>
          <w:p w14:paraId="43D6E04D" w14:textId="77777777" w:rsidR="00564223" w:rsidRPr="00564223" w:rsidRDefault="00564223" w:rsidP="0097193C">
            <w:pPr>
              <w:rPr>
                <w:sz w:val="20"/>
                <w:szCs w:val="20"/>
              </w:rPr>
            </w:pPr>
            <w:r w:rsidRPr="00564223">
              <w:rPr>
                <w:sz w:val="20"/>
                <w:szCs w:val="20"/>
              </w:rPr>
              <w:t>Must all bids exclude pharmacy benefits (</w:t>
            </w:r>
            <w:proofErr w:type="gramStart"/>
            <w:r w:rsidRPr="00564223">
              <w:rPr>
                <w:sz w:val="20"/>
                <w:szCs w:val="20"/>
              </w:rPr>
              <w:t>i.e.</w:t>
            </w:r>
            <w:proofErr w:type="gramEnd"/>
            <w:r w:rsidRPr="00564223">
              <w:rPr>
                <w:sz w:val="20"/>
                <w:szCs w:val="20"/>
              </w:rPr>
              <w:t xml:space="preserve"> meaning pharmacy will automatically be administered thru the State’s chosen PBM)?</w:t>
            </w:r>
          </w:p>
        </w:tc>
        <w:tc>
          <w:tcPr>
            <w:tcW w:w="3214" w:type="dxa"/>
            <w:shd w:val="clear" w:color="auto" w:fill="E7E6E6" w:themeFill="background2"/>
          </w:tcPr>
          <w:p w14:paraId="2567C1F1" w14:textId="77777777" w:rsidR="00564223" w:rsidRPr="00564223" w:rsidRDefault="00564223" w:rsidP="0097193C">
            <w:pPr>
              <w:jc w:val="both"/>
              <w:rPr>
                <w:sz w:val="20"/>
                <w:szCs w:val="20"/>
              </w:rPr>
            </w:pPr>
            <w:r w:rsidRPr="00564223">
              <w:rPr>
                <w:sz w:val="20"/>
                <w:szCs w:val="20"/>
              </w:rPr>
              <w:t xml:space="preserve">Correct. </w:t>
            </w:r>
          </w:p>
        </w:tc>
      </w:tr>
      <w:tr w:rsidR="00564223" w14:paraId="38F52F2F" w14:textId="77777777" w:rsidTr="0097193C">
        <w:tc>
          <w:tcPr>
            <w:tcW w:w="602" w:type="dxa"/>
            <w:shd w:val="clear" w:color="auto" w:fill="D5DCE4" w:themeFill="text2" w:themeFillTint="33"/>
          </w:tcPr>
          <w:p w14:paraId="332D83EC" w14:textId="77777777" w:rsidR="00564223" w:rsidRPr="00564223" w:rsidRDefault="00564223" w:rsidP="0097193C">
            <w:pPr>
              <w:jc w:val="both"/>
              <w:rPr>
                <w:sz w:val="20"/>
                <w:szCs w:val="20"/>
              </w:rPr>
            </w:pPr>
            <w:proofErr w:type="spellStart"/>
            <w:r w:rsidRPr="00564223">
              <w:rPr>
                <w:sz w:val="20"/>
                <w:szCs w:val="20"/>
              </w:rPr>
              <w:t>Q32</w:t>
            </w:r>
            <w:proofErr w:type="spellEnd"/>
          </w:p>
        </w:tc>
        <w:tc>
          <w:tcPr>
            <w:tcW w:w="1673" w:type="dxa"/>
            <w:shd w:val="clear" w:color="auto" w:fill="D5DCE4" w:themeFill="text2" w:themeFillTint="33"/>
          </w:tcPr>
          <w:p w14:paraId="742AB997" w14:textId="77777777" w:rsidR="00564223" w:rsidRPr="00564223" w:rsidRDefault="00564223" w:rsidP="0097193C">
            <w:pPr>
              <w:rPr>
                <w:sz w:val="20"/>
                <w:szCs w:val="20"/>
              </w:rPr>
            </w:pPr>
            <w:r w:rsidRPr="00564223">
              <w:rPr>
                <w:sz w:val="20"/>
                <w:szCs w:val="20"/>
              </w:rPr>
              <w:t>RFP 6.5.2 (Enrollment and Communication)</w:t>
            </w:r>
          </w:p>
        </w:tc>
        <w:tc>
          <w:tcPr>
            <w:tcW w:w="1095" w:type="dxa"/>
            <w:shd w:val="clear" w:color="auto" w:fill="D5DCE4" w:themeFill="text2" w:themeFillTint="33"/>
          </w:tcPr>
          <w:p w14:paraId="261ED34A" w14:textId="77777777" w:rsidR="00564223" w:rsidRPr="00564223" w:rsidRDefault="00564223" w:rsidP="0097193C">
            <w:pPr>
              <w:rPr>
                <w:sz w:val="20"/>
                <w:szCs w:val="20"/>
              </w:rPr>
            </w:pPr>
            <w:r w:rsidRPr="00564223">
              <w:rPr>
                <w:sz w:val="20"/>
                <w:szCs w:val="20"/>
              </w:rPr>
              <w:t>42</w:t>
            </w:r>
          </w:p>
        </w:tc>
        <w:tc>
          <w:tcPr>
            <w:tcW w:w="3676" w:type="dxa"/>
            <w:shd w:val="clear" w:color="auto" w:fill="D5DCE4" w:themeFill="text2" w:themeFillTint="33"/>
          </w:tcPr>
          <w:p w14:paraId="079C740F" w14:textId="77777777" w:rsidR="00564223" w:rsidRPr="00564223" w:rsidRDefault="00564223" w:rsidP="0097193C">
            <w:pPr>
              <w:rPr>
                <w:i/>
                <w:iCs/>
                <w:sz w:val="20"/>
                <w:szCs w:val="20"/>
              </w:rPr>
            </w:pPr>
            <w:r w:rsidRPr="00564223">
              <w:rPr>
                <w:i/>
                <w:iCs/>
                <w:sz w:val="20"/>
                <w:szCs w:val="20"/>
              </w:rPr>
              <w:t>“Provide examples of participant communication materials that explain</w:t>
            </w:r>
            <w:proofErr w:type="gramStart"/>
            <w:r w:rsidRPr="00564223">
              <w:rPr>
                <w:i/>
                <w:iCs/>
                <w:sz w:val="20"/>
                <w:szCs w:val="20"/>
              </w:rPr>
              <w:t>…..</w:t>
            </w:r>
            <w:proofErr w:type="gramEnd"/>
            <w:r w:rsidRPr="00564223">
              <w:rPr>
                <w:i/>
                <w:iCs/>
                <w:sz w:val="20"/>
                <w:szCs w:val="20"/>
              </w:rPr>
              <w:t>and a billing invoice for participants that are direct billed.”</w:t>
            </w:r>
          </w:p>
          <w:p w14:paraId="181D2371" w14:textId="77777777" w:rsidR="00564223" w:rsidRPr="00564223" w:rsidRDefault="00564223" w:rsidP="0097193C">
            <w:pPr>
              <w:rPr>
                <w:i/>
                <w:iCs/>
                <w:sz w:val="20"/>
                <w:szCs w:val="20"/>
              </w:rPr>
            </w:pPr>
          </w:p>
          <w:p w14:paraId="30E55E2C" w14:textId="77777777" w:rsidR="00564223" w:rsidRPr="00564223" w:rsidRDefault="00564223" w:rsidP="0097193C">
            <w:pPr>
              <w:rPr>
                <w:i/>
                <w:iCs/>
                <w:sz w:val="20"/>
                <w:szCs w:val="20"/>
              </w:rPr>
            </w:pPr>
            <w:r w:rsidRPr="00564223">
              <w:rPr>
                <w:i/>
                <w:iCs/>
                <w:sz w:val="20"/>
                <w:szCs w:val="20"/>
              </w:rPr>
              <w:t>a. Will Direct Billing retirees be a requirement of the program and if so, will there continue to be an expectation of pass through premiums (</w:t>
            </w:r>
            <w:proofErr w:type="gramStart"/>
            <w:r w:rsidRPr="00564223">
              <w:rPr>
                <w:i/>
                <w:iCs/>
                <w:sz w:val="20"/>
                <w:szCs w:val="20"/>
              </w:rPr>
              <w:t>i.e.</w:t>
            </w:r>
            <w:proofErr w:type="gramEnd"/>
            <w:r w:rsidRPr="00564223">
              <w:rPr>
                <w:i/>
                <w:iCs/>
                <w:sz w:val="20"/>
                <w:szCs w:val="20"/>
              </w:rPr>
              <w:t xml:space="preserve"> dental, pharmacy)?  </w:t>
            </w:r>
          </w:p>
          <w:p w14:paraId="6A5A99B2" w14:textId="77777777" w:rsidR="00564223" w:rsidRPr="00564223" w:rsidRDefault="00564223" w:rsidP="0097193C">
            <w:pPr>
              <w:rPr>
                <w:i/>
                <w:iCs/>
                <w:sz w:val="20"/>
                <w:szCs w:val="20"/>
              </w:rPr>
            </w:pPr>
            <w:r w:rsidRPr="00564223">
              <w:rPr>
                <w:i/>
                <w:iCs/>
                <w:sz w:val="20"/>
                <w:szCs w:val="20"/>
              </w:rPr>
              <w:t>b. If Direct Billing will be a requirement, will this only include direct billing the retiree the medical premium?</w:t>
            </w:r>
          </w:p>
        </w:tc>
        <w:tc>
          <w:tcPr>
            <w:tcW w:w="3214" w:type="dxa"/>
            <w:shd w:val="clear" w:color="auto" w:fill="D5DCE4" w:themeFill="text2" w:themeFillTint="33"/>
          </w:tcPr>
          <w:p w14:paraId="30C72818" w14:textId="77777777" w:rsidR="00564223" w:rsidRPr="00564223" w:rsidRDefault="00564223" w:rsidP="0097193C">
            <w:pPr>
              <w:rPr>
                <w:sz w:val="20"/>
                <w:szCs w:val="20"/>
              </w:rPr>
            </w:pPr>
            <w:r w:rsidRPr="00564223">
              <w:rPr>
                <w:sz w:val="20"/>
                <w:szCs w:val="20"/>
              </w:rPr>
              <w:t xml:space="preserve">a. Yes, direct billing will be a requirement, as it is today. That is, the health plan bills the member for health, pharmacy benefits, Department administrative fees and if selected, Uniform Dental coverage. The plan retains the medical portion and some of the fees. The Department claws back the other items. </w:t>
            </w:r>
          </w:p>
          <w:p w14:paraId="6359DFCE" w14:textId="77777777" w:rsidR="00564223" w:rsidRPr="00564223" w:rsidRDefault="00564223" w:rsidP="0097193C">
            <w:pPr>
              <w:rPr>
                <w:sz w:val="20"/>
                <w:szCs w:val="20"/>
              </w:rPr>
            </w:pPr>
          </w:p>
          <w:p w14:paraId="09EBDFCB" w14:textId="77777777" w:rsidR="00564223" w:rsidRPr="00564223" w:rsidRDefault="00564223" w:rsidP="0097193C">
            <w:pPr>
              <w:rPr>
                <w:sz w:val="20"/>
                <w:szCs w:val="20"/>
              </w:rPr>
            </w:pPr>
            <w:r w:rsidRPr="00564223">
              <w:rPr>
                <w:sz w:val="20"/>
                <w:szCs w:val="20"/>
              </w:rPr>
              <w:t xml:space="preserve">b. This is yet to be determined. The current practice is to bill the retiree for the entire premium; this may change when BenefitFocus is implemented.   </w:t>
            </w:r>
          </w:p>
        </w:tc>
      </w:tr>
      <w:tr w:rsidR="00564223" w14:paraId="1263336E" w14:textId="77777777" w:rsidTr="0097193C">
        <w:tc>
          <w:tcPr>
            <w:tcW w:w="602" w:type="dxa"/>
            <w:shd w:val="clear" w:color="auto" w:fill="E7E6E6" w:themeFill="background2"/>
          </w:tcPr>
          <w:p w14:paraId="31200002" w14:textId="77777777" w:rsidR="00564223" w:rsidRPr="00564223" w:rsidRDefault="00564223" w:rsidP="0097193C">
            <w:pPr>
              <w:jc w:val="both"/>
              <w:rPr>
                <w:sz w:val="20"/>
                <w:szCs w:val="20"/>
              </w:rPr>
            </w:pPr>
            <w:proofErr w:type="spellStart"/>
            <w:r w:rsidRPr="00564223">
              <w:rPr>
                <w:sz w:val="20"/>
                <w:szCs w:val="20"/>
              </w:rPr>
              <w:t>Q33</w:t>
            </w:r>
            <w:proofErr w:type="spellEnd"/>
          </w:p>
        </w:tc>
        <w:tc>
          <w:tcPr>
            <w:tcW w:w="1673" w:type="dxa"/>
            <w:shd w:val="clear" w:color="auto" w:fill="E7E6E6" w:themeFill="background2"/>
          </w:tcPr>
          <w:p w14:paraId="33AD0FB7" w14:textId="77777777" w:rsidR="00564223" w:rsidRPr="00564223" w:rsidRDefault="00564223" w:rsidP="0097193C">
            <w:pPr>
              <w:rPr>
                <w:sz w:val="20"/>
                <w:szCs w:val="20"/>
              </w:rPr>
            </w:pPr>
            <w:r w:rsidRPr="00564223">
              <w:rPr>
                <w:sz w:val="20"/>
                <w:szCs w:val="20"/>
              </w:rPr>
              <w:t xml:space="preserve">Exhibit 1 –Program Agreement, </w:t>
            </w:r>
            <w:proofErr w:type="spellStart"/>
            <w:r w:rsidRPr="00564223">
              <w:rPr>
                <w:sz w:val="20"/>
                <w:szCs w:val="20"/>
              </w:rPr>
              <w:t>IV.F.6</w:t>
            </w:r>
            <w:proofErr w:type="spellEnd"/>
            <w:r w:rsidRPr="00564223">
              <w:rPr>
                <w:sz w:val="20"/>
                <w:szCs w:val="20"/>
              </w:rPr>
              <w:t>.</w:t>
            </w:r>
          </w:p>
          <w:p w14:paraId="1140A1CC" w14:textId="77777777" w:rsidR="00564223" w:rsidRPr="00564223" w:rsidRDefault="00564223" w:rsidP="0097193C">
            <w:pPr>
              <w:rPr>
                <w:sz w:val="20"/>
                <w:szCs w:val="20"/>
              </w:rPr>
            </w:pPr>
            <w:r w:rsidRPr="00564223">
              <w:rPr>
                <w:sz w:val="20"/>
                <w:szCs w:val="20"/>
              </w:rPr>
              <w:t>SUBSCRIBER Notification of Changes Review</w:t>
            </w:r>
          </w:p>
        </w:tc>
        <w:tc>
          <w:tcPr>
            <w:tcW w:w="1095" w:type="dxa"/>
            <w:shd w:val="clear" w:color="auto" w:fill="E7E6E6" w:themeFill="background2"/>
          </w:tcPr>
          <w:p w14:paraId="778BB911" w14:textId="77777777" w:rsidR="00564223" w:rsidRPr="00564223" w:rsidRDefault="00564223" w:rsidP="0097193C">
            <w:pPr>
              <w:rPr>
                <w:sz w:val="20"/>
                <w:szCs w:val="20"/>
              </w:rPr>
            </w:pPr>
            <w:r w:rsidRPr="00564223">
              <w:rPr>
                <w:sz w:val="20"/>
                <w:szCs w:val="20"/>
              </w:rPr>
              <w:t>56</w:t>
            </w:r>
          </w:p>
        </w:tc>
        <w:tc>
          <w:tcPr>
            <w:tcW w:w="3676" w:type="dxa"/>
            <w:shd w:val="clear" w:color="auto" w:fill="E7E6E6" w:themeFill="background2"/>
          </w:tcPr>
          <w:p w14:paraId="4647B697" w14:textId="77777777" w:rsidR="00564223" w:rsidRPr="00564223" w:rsidRDefault="00564223" w:rsidP="0097193C">
            <w:pPr>
              <w:rPr>
                <w:i/>
                <w:iCs/>
                <w:sz w:val="20"/>
                <w:szCs w:val="20"/>
              </w:rPr>
            </w:pPr>
            <w:r w:rsidRPr="00564223">
              <w:rPr>
                <w:i/>
                <w:iCs/>
                <w:sz w:val="20"/>
                <w:szCs w:val="20"/>
              </w:rPr>
              <w:t xml:space="preserve">“The CONTRACTOR must submit the written notice that it will be issuing to PARTICIPANTS enrolled in its benefit plan(s) prior to the annual OPEN  ENROLLMENT period identifying those PROVIDERS that will not be IN-NETWORK for the upcoming benefit period and including any language </w:t>
            </w:r>
            <w:r w:rsidRPr="00564223">
              <w:rPr>
                <w:i/>
                <w:iCs/>
                <w:sz w:val="20"/>
                <w:szCs w:val="20"/>
              </w:rPr>
              <w:lastRenderedPageBreak/>
              <w:t xml:space="preserve">directed by the DEPARTMENT summarizing any BENEFIT or other HEALTH BENEFIT PROGRAM changes. The CONTRACTOR must issue the written notice after DEPARTMENT approval. (See Section </w:t>
            </w:r>
            <w:proofErr w:type="spellStart"/>
            <w:r w:rsidRPr="00564223">
              <w:rPr>
                <w:i/>
                <w:iCs/>
                <w:sz w:val="20"/>
                <w:szCs w:val="20"/>
              </w:rPr>
              <w:t>III.E.1</w:t>
            </w:r>
            <w:proofErr w:type="spellEnd"/>
            <w:r w:rsidRPr="00564223">
              <w:rPr>
                <w:i/>
                <w:iCs/>
                <w:sz w:val="20"/>
                <w:szCs w:val="20"/>
              </w:rPr>
              <w:t>. OPEN ENROLLMENT Informational / Marketing Materials.)”</w:t>
            </w:r>
          </w:p>
          <w:p w14:paraId="48348A9C" w14:textId="77777777" w:rsidR="00564223" w:rsidRPr="00564223" w:rsidRDefault="00564223" w:rsidP="0097193C">
            <w:pPr>
              <w:rPr>
                <w:sz w:val="20"/>
                <w:szCs w:val="20"/>
              </w:rPr>
            </w:pPr>
          </w:p>
          <w:p w14:paraId="22B64EA7" w14:textId="77777777" w:rsidR="00564223" w:rsidRPr="00564223" w:rsidRDefault="00564223" w:rsidP="0097193C">
            <w:pPr>
              <w:rPr>
                <w:sz w:val="20"/>
                <w:szCs w:val="20"/>
              </w:rPr>
            </w:pPr>
            <w:r w:rsidRPr="00564223">
              <w:rPr>
                <w:sz w:val="20"/>
                <w:szCs w:val="20"/>
              </w:rPr>
              <w:t xml:space="preserve">Need to understand how they define PROVIDER. Does this include one provider closing/merging a location or several </w:t>
            </w:r>
            <w:proofErr w:type="gramStart"/>
            <w:r w:rsidRPr="00564223">
              <w:rPr>
                <w:sz w:val="20"/>
                <w:szCs w:val="20"/>
              </w:rPr>
              <w:t>locations</w:t>
            </w:r>
            <w:proofErr w:type="gramEnd"/>
            <w:r w:rsidRPr="00564223">
              <w:rPr>
                <w:sz w:val="20"/>
                <w:szCs w:val="20"/>
              </w:rPr>
              <w:t xml:space="preserve"> but other locations remain open?</w:t>
            </w:r>
          </w:p>
        </w:tc>
        <w:tc>
          <w:tcPr>
            <w:tcW w:w="3214" w:type="dxa"/>
            <w:shd w:val="clear" w:color="auto" w:fill="E7E6E6" w:themeFill="background2"/>
          </w:tcPr>
          <w:p w14:paraId="46F41730" w14:textId="77777777" w:rsidR="00564223" w:rsidRPr="00564223" w:rsidRDefault="00564223" w:rsidP="0097193C">
            <w:pPr>
              <w:rPr>
                <w:sz w:val="20"/>
                <w:szCs w:val="20"/>
              </w:rPr>
            </w:pPr>
            <w:r w:rsidRPr="00564223">
              <w:rPr>
                <w:sz w:val="20"/>
                <w:szCs w:val="20"/>
              </w:rPr>
              <w:lastRenderedPageBreak/>
              <w:t xml:space="preserve">This provision applies to Medicare Advantage HMO bids. </w:t>
            </w:r>
          </w:p>
          <w:p w14:paraId="1D2A60F6" w14:textId="77777777" w:rsidR="00564223" w:rsidRPr="00564223" w:rsidRDefault="00564223" w:rsidP="0097193C">
            <w:pPr>
              <w:rPr>
                <w:sz w:val="20"/>
                <w:szCs w:val="20"/>
              </w:rPr>
            </w:pPr>
            <w:r w:rsidRPr="00564223">
              <w:rPr>
                <w:sz w:val="20"/>
                <w:szCs w:val="20"/>
              </w:rPr>
              <w:t xml:space="preserve">Per the Certificate of Coverage, Provider means a doctor, Hospital, clinic, or any other person or entity licensed by the State of Wisconsin, or other </w:t>
            </w:r>
            <w:r w:rsidRPr="00564223">
              <w:rPr>
                <w:sz w:val="20"/>
                <w:szCs w:val="20"/>
              </w:rPr>
              <w:lastRenderedPageBreak/>
              <w:t>applicable jurisdiction, to provide one or more Benefits.</w:t>
            </w:r>
          </w:p>
          <w:p w14:paraId="7DD66CA5" w14:textId="77777777" w:rsidR="00564223" w:rsidRPr="00564223" w:rsidRDefault="00564223" w:rsidP="0097193C">
            <w:pPr>
              <w:rPr>
                <w:sz w:val="20"/>
                <w:szCs w:val="20"/>
              </w:rPr>
            </w:pPr>
          </w:p>
          <w:p w14:paraId="2612E762" w14:textId="77777777" w:rsidR="00564223" w:rsidRPr="00564223" w:rsidRDefault="00564223" w:rsidP="0097193C">
            <w:pPr>
              <w:rPr>
                <w:sz w:val="20"/>
                <w:szCs w:val="20"/>
              </w:rPr>
            </w:pPr>
            <w:r w:rsidRPr="00564223">
              <w:rPr>
                <w:sz w:val="20"/>
                <w:szCs w:val="20"/>
              </w:rPr>
              <w:t>For Regional MA Providers, yes, such notice to Participants would include when one Provider closes/merges with another location or several locations but other locations remain open.</w:t>
            </w:r>
          </w:p>
          <w:p w14:paraId="3E4374BE" w14:textId="77777777" w:rsidR="00564223" w:rsidRPr="00564223" w:rsidRDefault="00564223" w:rsidP="0097193C">
            <w:pPr>
              <w:rPr>
                <w:sz w:val="20"/>
                <w:szCs w:val="20"/>
              </w:rPr>
            </w:pPr>
          </w:p>
          <w:p w14:paraId="3CE26435" w14:textId="77777777" w:rsidR="00564223" w:rsidRPr="00564223" w:rsidRDefault="00564223" w:rsidP="0097193C">
            <w:pPr>
              <w:rPr>
                <w:sz w:val="20"/>
                <w:szCs w:val="20"/>
              </w:rPr>
            </w:pPr>
            <w:r w:rsidRPr="00564223">
              <w:rPr>
                <w:sz w:val="20"/>
                <w:szCs w:val="20"/>
              </w:rPr>
              <w:t xml:space="preserve">For nationwide passive PPO Medicare Advantage plans, written notices may be required to inform Participants about out-of-network Providers who have issues, for example, in billing the Contractor. This notice would be to inform the PARTICIPANT of the issue and steps to resolve it.   </w:t>
            </w:r>
          </w:p>
          <w:p w14:paraId="542B0E29" w14:textId="77777777" w:rsidR="00564223" w:rsidRPr="00564223" w:rsidRDefault="00564223" w:rsidP="0097193C">
            <w:pPr>
              <w:rPr>
                <w:sz w:val="20"/>
                <w:szCs w:val="20"/>
              </w:rPr>
            </w:pPr>
          </w:p>
          <w:p w14:paraId="12CB0A9F" w14:textId="77777777" w:rsidR="00564223" w:rsidRPr="00564223" w:rsidRDefault="00564223" w:rsidP="0097193C">
            <w:pPr>
              <w:rPr>
                <w:sz w:val="20"/>
                <w:szCs w:val="20"/>
              </w:rPr>
            </w:pPr>
            <w:r w:rsidRPr="00564223">
              <w:rPr>
                <w:sz w:val="20"/>
                <w:szCs w:val="20"/>
              </w:rPr>
              <w:t xml:space="preserve">This provision is waived for Medicare Plus </w:t>
            </w:r>
            <w:proofErr w:type="gramStart"/>
            <w:r w:rsidRPr="00564223">
              <w:rPr>
                <w:sz w:val="20"/>
                <w:szCs w:val="20"/>
              </w:rPr>
              <w:t>plans, since</w:t>
            </w:r>
            <w:proofErr w:type="gramEnd"/>
            <w:r w:rsidRPr="00564223">
              <w:rPr>
                <w:sz w:val="20"/>
                <w:szCs w:val="20"/>
              </w:rPr>
              <w:t xml:space="preserve"> all  Providers are eligible for payment. Some Providers, such as those who opt-out of Medicare or who are out-of-country, can be subject to </w:t>
            </w:r>
            <w:proofErr w:type="spellStart"/>
            <w:r w:rsidRPr="00564223">
              <w:rPr>
                <w:sz w:val="20"/>
                <w:szCs w:val="20"/>
              </w:rPr>
              <w:t>UCR</w:t>
            </w:r>
            <w:proofErr w:type="spellEnd"/>
            <w:r w:rsidRPr="00564223">
              <w:rPr>
                <w:sz w:val="20"/>
                <w:szCs w:val="20"/>
              </w:rPr>
              <w:t xml:space="preserve"> and hold harmless. </w:t>
            </w:r>
          </w:p>
        </w:tc>
      </w:tr>
      <w:tr w:rsidR="00564223" w14:paraId="65427344" w14:textId="77777777" w:rsidTr="00564223">
        <w:trPr>
          <w:trHeight w:val="2501"/>
        </w:trPr>
        <w:tc>
          <w:tcPr>
            <w:tcW w:w="602" w:type="dxa"/>
            <w:shd w:val="clear" w:color="auto" w:fill="D5DCE4" w:themeFill="text2" w:themeFillTint="33"/>
          </w:tcPr>
          <w:p w14:paraId="02B8C93F" w14:textId="77777777" w:rsidR="00564223" w:rsidRPr="00564223" w:rsidRDefault="00564223" w:rsidP="0097193C">
            <w:pPr>
              <w:jc w:val="both"/>
              <w:rPr>
                <w:sz w:val="20"/>
                <w:szCs w:val="20"/>
              </w:rPr>
            </w:pPr>
            <w:proofErr w:type="spellStart"/>
            <w:r w:rsidRPr="00564223">
              <w:rPr>
                <w:sz w:val="20"/>
                <w:szCs w:val="20"/>
              </w:rPr>
              <w:lastRenderedPageBreak/>
              <w:t>Q34</w:t>
            </w:r>
            <w:proofErr w:type="spellEnd"/>
          </w:p>
        </w:tc>
        <w:tc>
          <w:tcPr>
            <w:tcW w:w="1673" w:type="dxa"/>
            <w:shd w:val="clear" w:color="auto" w:fill="D5DCE4" w:themeFill="text2" w:themeFillTint="33"/>
          </w:tcPr>
          <w:p w14:paraId="44264D5F" w14:textId="3CE7FD6E" w:rsidR="00564223" w:rsidRPr="00564223" w:rsidRDefault="00564223" w:rsidP="0097193C">
            <w:pPr>
              <w:rPr>
                <w:sz w:val="20"/>
                <w:szCs w:val="20"/>
              </w:rPr>
            </w:pPr>
            <w:r w:rsidRPr="00564223">
              <w:rPr>
                <w:sz w:val="20"/>
                <w:szCs w:val="20"/>
              </w:rPr>
              <w:t xml:space="preserve">Exhibit 1 –Program Agreement, </w:t>
            </w:r>
            <w:proofErr w:type="spellStart"/>
            <w:r w:rsidRPr="00564223">
              <w:rPr>
                <w:sz w:val="20"/>
                <w:szCs w:val="20"/>
              </w:rPr>
              <w:t>IV.G.9</w:t>
            </w:r>
            <w:proofErr w:type="spellEnd"/>
            <w:r w:rsidRPr="00564223">
              <w:rPr>
                <w:sz w:val="20"/>
                <w:szCs w:val="20"/>
              </w:rPr>
              <w:t>. Over-Age Disabled Child Eligibility Verification Report and Certification</w:t>
            </w:r>
          </w:p>
        </w:tc>
        <w:tc>
          <w:tcPr>
            <w:tcW w:w="1095" w:type="dxa"/>
            <w:shd w:val="clear" w:color="auto" w:fill="D5DCE4" w:themeFill="text2" w:themeFillTint="33"/>
          </w:tcPr>
          <w:p w14:paraId="0C7305AE" w14:textId="77777777" w:rsidR="00564223" w:rsidRPr="00564223" w:rsidRDefault="00564223" w:rsidP="0097193C">
            <w:pPr>
              <w:rPr>
                <w:sz w:val="20"/>
                <w:szCs w:val="20"/>
              </w:rPr>
            </w:pPr>
            <w:r w:rsidRPr="00564223">
              <w:rPr>
                <w:sz w:val="20"/>
                <w:szCs w:val="20"/>
              </w:rPr>
              <w:t>59</w:t>
            </w:r>
          </w:p>
        </w:tc>
        <w:tc>
          <w:tcPr>
            <w:tcW w:w="3676" w:type="dxa"/>
            <w:shd w:val="clear" w:color="auto" w:fill="D5DCE4" w:themeFill="text2" w:themeFillTint="33"/>
          </w:tcPr>
          <w:p w14:paraId="33AD960A" w14:textId="77777777" w:rsidR="00564223" w:rsidRPr="00564223" w:rsidRDefault="00564223" w:rsidP="0097193C">
            <w:pPr>
              <w:rPr>
                <w:b/>
                <w:bCs/>
                <w:sz w:val="20"/>
                <w:szCs w:val="20"/>
              </w:rPr>
            </w:pPr>
            <w:r w:rsidRPr="00564223">
              <w:rPr>
                <w:b/>
                <w:bCs/>
                <w:sz w:val="20"/>
                <w:szCs w:val="20"/>
              </w:rPr>
              <w:t>9. Over-Age Disabled Child Eligibility Verification Report and Certification</w:t>
            </w:r>
          </w:p>
          <w:p w14:paraId="2561CF75" w14:textId="77777777" w:rsidR="00564223" w:rsidRPr="00564223" w:rsidRDefault="00564223" w:rsidP="0097193C">
            <w:pPr>
              <w:rPr>
                <w:sz w:val="20"/>
                <w:szCs w:val="20"/>
              </w:rPr>
            </w:pPr>
            <w:r w:rsidRPr="00564223">
              <w:rPr>
                <w:sz w:val="20"/>
                <w:szCs w:val="20"/>
              </w:rPr>
              <w:t>Confirm that this Performance Standard wouldn’t apply to Medicare Advantage contractor.</w:t>
            </w:r>
          </w:p>
          <w:p w14:paraId="34607C78" w14:textId="77777777" w:rsidR="00564223" w:rsidRPr="00564223" w:rsidRDefault="00564223" w:rsidP="0097193C">
            <w:pPr>
              <w:rPr>
                <w:sz w:val="20"/>
                <w:szCs w:val="20"/>
              </w:rPr>
            </w:pPr>
          </w:p>
        </w:tc>
        <w:tc>
          <w:tcPr>
            <w:tcW w:w="3214" w:type="dxa"/>
            <w:shd w:val="clear" w:color="auto" w:fill="D5DCE4" w:themeFill="text2" w:themeFillTint="33"/>
          </w:tcPr>
          <w:p w14:paraId="7493CD93" w14:textId="77777777" w:rsidR="00564223" w:rsidRPr="00564223" w:rsidRDefault="00564223" w:rsidP="0097193C">
            <w:pPr>
              <w:rPr>
                <w:sz w:val="20"/>
                <w:szCs w:val="20"/>
              </w:rPr>
            </w:pPr>
            <w:r w:rsidRPr="00564223">
              <w:rPr>
                <w:sz w:val="20"/>
                <w:szCs w:val="20"/>
              </w:rPr>
              <w:t xml:space="preserve">The Medicare Advantage Contractor is expected to perform certification of over-age disabled dependents. </w:t>
            </w:r>
          </w:p>
        </w:tc>
      </w:tr>
      <w:tr w:rsidR="00564223" w:rsidRPr="00E05361" w14:paraId="2C838949" w14:textId="77777777" w:rsidTr="0097193C">
        <w:tc>
          <w:tcPr>
            <w:tcW w:w="602" w:type="dxa"/>
            <w:shd w:val="clear" w:color="auto" w:fill="E7E6E6" w:themeFill="background2"/>
          </w:tcPr>
          <w:p w14:paraId="414CE313" w14:textId="77777777" w:rsidR="00564223" w:rsidRPr="00564223" w:rsidRDefault="00564223" w:rsidP="0097193C">
            <w:pPr>
              <w:jc w:val="both"/>
              <w:rPr>
                <w:sz w:val="20"/>
                <w:szCs w:val="20"/>
              </w:rPr>
            </w:pPr>
            <w:bookmarkStart w:id="4" w:name="_Hlk163213430"/>
            <w:proofErr w:type="spellStart"/>
            <w:r w:rsidRPr="00564223">
              <w:rPr>
                <w:sz w:val="20"/>
                <w:szCs w:val="20"/>
              </w:rPr>
              <w:t>Q35</w:t>
            </w:r>
            <w:proofErr w:type="spellEnd"/>
          </w:p>
        </w:tc>
        <w:tc>
          <w:tcPr>
            <w:tcW w:w="1673" w:type="dxa"/>
            <w:shd w:val="clear" w:color="auto" w:fill="E7E6E6" w:themeFill="background2"/>
          </w:tcPr>
          <w:p w14:paraId="3DB034E8" w14:textId="77777777" w:rsidR="00564223" w:rsidRPr="00564223" w:rsidRDefault="00564223" w:rsidP="0097193C">
            <w:pPr>
              <w:rPr>
                <w:sz w:val="20"/>
                <w:szCs w:val="20"/>
              </w:rPr>
            </w:pPr>
            <w:r w:rsidRPr="00564223">
              <w:rPr>
                <w:sz w:val="20"/>
                <w:szCs w:val="20"/>
              </w:rPr>
              <w:t xml:space="preserve">Exhibit 1 – Program Agreement, </w:t>
            </w:r>
            <w:proofErr w:type="spellStart"/>
            <w:r w:rsidRPr="00564223">
              <w:rPr>
                <w:sz w:val="20"/>
                <w:szCs w:val="20"/>
              </w:rPr>
              <w:t>IV.J.1</w:t>
            </w:r>
            <w:proofErr w:type="spellEnd"/>
            <w:r w:rsidRPr="00564223">
              <w:rPr>
                <w:sz w:val="20"/>
                <w:szCs w:val="20"/>
              </w:rPr>
              <w:t>. Claims Data Transfer to Data Warehouse</w:t>
            </w:r>
          </w:p>
          <w:p w14:paraId="2BEA7C6D" w14:textId="77777777" w:rsidR="00564223" w:rsidRPr="00564223" w:rsidRDefault="00564223" w:rsidP="0097193C">
            <w:pPr>
              <w:rPr>
                <w:sz w:val="20"/>
                <w:szCs w:val="20"/>
              </w:rPr>
            </w:pPr>
            <w:proofErr w:type="spellStart"/>
            <w:r w:rsidRPr="00564223">
              <w:rPr>
                <w:sz w:val="20"/>
                <w:szCs w:val="20"/>
              </w:rPr>
              <w:t>IV.J.2</w:t>
            </w:r>
            <w:proofErr w:type="spellEnd"/>
            <w:r w:rsidRPr="00564223">
              <w:rPr>
                <w:sz w:val="20"/>
                <w:szCs w:val="20"/>
              </w:rPr>
              <w:t xml:space="preserve">. Provider Data Transfer to </w:t>
            </w:r>
            <w:r w:rsidRPr="00564223">
              <w:rPr>
                <w:sz w:val="20"/>
                <w:szCs w:val="20"/>
              </w:rPr>
              <w:lastRenderedPageBreak/>
              <w:t>Data Warehouse</w:t>
            </w:r>
          </w:p>
        </w:tc>
        <w:tc>
          <w:tcPr>
            <w:tcW w:w="1095" w:type="dxa"/>
            <w:shd w:val="clear" w:color="auto" w:fill="E7E6E6" w:themeFill="background2"/>
          </w:tcPr>
          <w:p w14:paraId="5DB43AC3" w14:textId="77777777" w:rsidR="00564223" w:rsidRPr="00564223" w:rsidRDefault="00564223" w:rsidP="0097193C">
            <w:pPr>
              <w:rPr>
                <w:sz w:val="20"/>
                <w:szCs w:val="20"/>
              </w:rPr>
            </w:pPr>
            <w:r w:rsidRPr="00564223">
              <w:rPr>
                <w:sz w:val="20"/>
                <w:szCs w:val="20"/>
              </w:rPr>
              <w:lastRenderedPageBreak/>
              <w:t>Ex 1, page 61</w:t>
            </w:r>
          </w:p>
        </w:tc>
        <w:tc>
          <w:tcPr>
            <w:tcW w:w="3676" w:type="dxa"/>
            <w:shd w:val="clear" w:color="auto" w:fill="E7E6E6" w:themeFill="background2"/>
          </w:tcPr>
          <w:p w14:paraId="663F2A85" w14:textId="77777777" w:rsidR="00564223" w:rsidRPr="00564223" w:rsidRDefault="00564223" w:rsidP="0097193C">
            <w:pPr>
              <w:rPr>
                <w:b/>
                <w:bCs/>
                <w:sz w:val="20"/>
                <w:szCs w:val="20"/>
              </w:rPr>
            </w:pPr>
            <w:r w:rsidRPr="00564223">
              <w:rPr>
                <w:b/>
                <w:bCs/>
                <w:sz w:val="20"/>
                <w:szCs w:val="20"/>
              </w:rPr>
              <w:t>1. Claims Data Transfer to Data Warehouse</w:t>
            </w:r>
          </w:p>
          <w:p w14:paraId="204F2ECC" w14:textId="77777777" w:rsidR="00564223" w:rsidRPr="00564223" w:rsidRDefault="00564223" w:rsidP="0097193C">
            <w:pPr>
              <w:rPr>
                <w:b/>
                <w:bCs/>
                <w:sz w:val="20"/>
                <w:szCs w:val="20"/>
              </w:rPr>
            </w:pPr>
            <w:r w:rsidRPr="00564223">
              <w:rPr>
                <w:b/>
                <w:bCs/>
                <w:sz w:val="20"/>
                <w:szCs w:val="20"/>
              </w:rPr>
              <w:t>2. Provider Data Transfer to Data Warehouse</w:t>
            </w:r>
          </w:p>
          <w:p w14:paraId="18C312F7" w14:textId="77777777" w:rsidR="00564223" w:rsidRPr="00564223" w:rsidRDefault="00564223" w:rsidP="0097193C">
            <w:pPr>
              <w:rPr>
                <w:sz w:val="20"/>
                <w:szCs w:val="20"/>
              </w:rPr>
            </w:pPr>
            <w:r w:rsidRPr="00564223">
              <w:rPr>
                <w:sz w:val="20"/>
                <w:szCs w:val="20"/>
              </w:rPr>
              <w:t>Confirm that these are required by a Medicare Contractor, seems like a Commercial requirement.</w:t>
            </w:r>
          </w:p>
        </w:tc>
        <w:tc>
          <w:tcPr>
            <w:tcW w:w="3214" w:type="dxa"/>
            <w:shd w:val="clear" w:color="auto" w:fill="E7E6E6" w:themeFill="background2"/>
          </w:tcPr>
          <w:p w14:paraId="0EBB52D1" w14:textId="77777777" w:rsidR="00564223" w:rsidRPr="00564223" w:rsidRDefault="00564223" w:rsidP="0097193C">
            <w:pPr>
              <w:rPr>
                <w:color w:val="000000"/>
                <w:sz w:val="20"/>
                <w:szCs w:val="20"/>
              </w:rPr>
            </w:pPr>
            <w:r w:rsidRPr="00564223">
              <w:rPr>
                <w:color w:val="000000"/>
                <w:sz w:val="20"/>
                <w:szCs w:val="20"/>
              </w:rPr>
              <w:t xml:space="preserve">Yes, both claims and provider data submissions are required to be provided by the Medicare vendor to ETF’s claims data warehouse for all the ETF’s Medicare members. </w:t>
            </w:r>
          </w:p>
          <w:p w14:paraId="4364E189" w14:textId="77777777" w:rsidR="00564223" w:rsidRPr="00564223" w:rsidRDefault="00564223" w:rsidP="0097193C">
            <w:pPr>
              <w:rPr>
                <w:color w:val="000000"/>
                <w:sz w:val="20"/>
                <w:szCs w:val="20"/>
              </w:rPr>
            </w:pPr>
            <w:r w:rsidRPr="00564223">
              <w:rPr>
                <w:color w:val="000000"/>
                <w:sz w:val="20"/>
                <w:szCs w:val="20"/>
              </w:rPr>
              <w:t xml:space="preserve">Regarding provider data submission, Medicare vendors tend to have a very large provider network, therefore ETF will </w:t>
            </w:r>
            <w:r w:rsidRPr="00564223">
              <w:rPr>
                <w:color w:val="000000"/>
                <w:sz w:val="20"/>
                <w:szCs w:val="20"/>
              </w:rPr>
              <w:lastRenderedPageBreak/>
              <w:t xml:space="preserve">accept provider data of the providers that submitted a claim on ETF’s Medicare members, instead of the vendor’s entire network. This response applies to Medicare Plus as well. </w:t>
            </w:r>
          </w:p>
          <w:p w14:paraId="102D14CC" w14:textId="77777777" w:rsidR="00564223" w:rsidRPr="00564223" w:rsidRDefault="00564223" w:rsidP="0097193C">
            <w:pPr>
              <w:rPr>
                <w:sz w:val="20"/>
                <w:szCs w:val="20"/>
              </w:rPr>
            </w:pPr>
          </w:p>
        </w:tc>
      </w:tr>
      <w:bookmarkEnd w:id="4"/>
      <w:tr w:rsidR="00564223" w:rsidRPr="00E05361" w14:paraId="7B105746" w14:textId="77777777" w:rsidTr="0097193C">
        <w:tc>
          <w:tcPr>
            <w:tcW w:w="602" w:type="dxa"/>
            <w:shd w:val="clear" w:color="auto" w:fill="D5DCE4" w:themeFill="text2" w:themeFillTint="33"/>
          </w:tcPr>
          <w:p w14:paraId="4D3691AE" w14:textId="77777777" w:rsidR="00564223" w:rsidRPr="00564223" w:rsidRDefault="00564223" w:rsidP="0097193C">
            <w:pPr>
              <w:jc w:val="both"/>
              <w:rPr>
                <w:sz w:val="20"/>
                <w:szCs w:val="20"/>
              </w:rPr>
            </w:pPr>
            <w:proofErr w:type="spellStart"/>
            <w:r w:rsidRPr="00564223">
              <w:rPr>
                <w:sz w:val="20"/>
                <w:szCs w:val="20"/>
              </w:rPr>
              <w:lastRenderedPageBreak/>
              <w:t>Q36</w:t>
            </w:r>
            <w:proofErr w:type="spellEnd"/>
          </w:p>
        </w:tc>
        <w:tc>
          <w:tcPr>
            <w:tcW w:w="1673" w:type="dxa"/>
            <w:shd w:val="clear" w:color="auto" w:fill="D5DCE4" w:themeFill="text2" w:themeFillTint="33"/>
          </w:tcPr>
          <w:p w14:paraId="417FAA16" w14:textId="77777777" w:rsidR="00564223" w:rsidRPr="00564223" w:rsidRDefault="00564223" w:rsidP="0097193C">
            <w:pPr>
              <w:rPr>
                <w:sz w:val="20"/>
                <w:szCs w:val="20"/>
              </w:rPr>
            </w:pPr>
            <w:r w:rsidRPr="00564223">
              <w:rPr>
                <w:color w:val="000000"/>
                <w:sz w:val="20"/>
                <w:szCs w:val="20"/>
              </w:rPr>
              <w:t>Appendix 2 (</w:t>
            </w:r>
            <w:r w:rsidRPr="00564223">
              <w:rPr>
                <w:sz w:val="20"/>
                <w:szCs w:val="20"/>
              </w:rPr>
              <w:t>Drug Claims Functional Specification)</w:t>
            </w:r>
          </w:p>
        </w:tc>
        <w:tc>
          <w:tcPr>
            <w:tcW w:w="1095" w:type="dxa"/>
            <w:shd w:val="clear" w:color="auto" w:fill="D5DCE4" w:themeFill="text2" w:themeFillTint="33"/>
          </w:tcPr>
          <w:p w14:paraId="59ACDAB8" w14:textId="77777777" w:rsidR="00564223" w:rsidRPr="00564223" w:rsidRDefault="00564223" w:rsidP="0097193C">
            <w:pPr>
              <w:rPr>
                <w:sz w:val="20"/>
                <w:szCs w:val="20"/>
              </w:rPr>
            </w:pPr>
            <w:r w:rsidRPr="00564223">
              <w:rPr>
                <w:color w:val="000000"/>
                <w:sz w:val="20"/>
                <w:szCs w:val="20"/>
              </w:rPr>
              <w:t>n/a</w:t>
            </w:r>
          </w:p>
        </w:tc>
        <w:tc>
          <w:tcPr>
            <w:tcW w:w="3676" w:type="dxa"/>
            <w:shd w:val="clear" w:color="auto" w:fill="D5DCE4" w:themeFill="text2" w:themeFillTint="33"/>
          </w:tcPr>
          <w:p w14:paraId="574F9EAF" w14:textId="77777777" w:rsidR="00564223" w:rsidRPr="00564223" w:rsidRDefault="00564223" w:rsidP="0097193C">
            <w:pPr>
              <w:rPr>
                <w:b/>
                <w:bCs/>
                <w:sz w:val="20"/>
                <w:szCs w:val="20"/>
              </w:rPr>
            </w:pPr>
            <w:r w:rsidRPr="00564223">
              <w:rPr>
                <w:color w:val="000000" w:themeColor="text1"/>
                <w:sz w:val="20"/>
                <w:szCs w:val="20"/>
              </w:rPr>
              <w:t>The 2024 Functional Specification Drug (Appendix 2) indicates the specification is designed to produce a prescription drug claims file for plan participants.  RFP Section 1.3.4 indicates that the Pharmacy benefits are not part of the RFP.  Please provide clarity on the purpose of the file specification.</w:t>
            </w:r>
          </w:p>
        </w:tc>
        <w:tc>
          <w:tcPr>
            <w:tcW w:w="3214" w:type="dxa"/>
            <w:shd w:val="clear" w:color="auto" w:fill="D5DCE4" w:themeFill="text2" w:themeFillTint="33"/>
          </w:tcPr>
          <w:p w14:paraId="24877140" w14:textId="77777777" w:rsidR="00564223" w:rsidRPr="00564223" w:rsidRDefault="00564223" w:rsidP="0097193C">
            <w:pPr>
              <w:rPr>
                <w:sz w:val="20"/>
                <w:szCs w:val="20"/>
              </w:rPr>
            </w:pPr>
            <w:r w:rsidRPr="00564223">
              <w:rPr>
                <w:sz w:val="20"/>
                <w:szCs w:val="20"/>
              </w:rPr>
              <w:t>The Department will provide data specifications to Contractors to fully incorporate available pharmacy claims data into data reporting, which includes, but is not limited to:  HEDIS data; Wisconsin Health Information Organization (WHIO) claims data; information requested on the disease management program survey; and Catastrophic claims data. The Department’s data warehouse uses this data/information in consultation with the Pharmacy Benefit Manager.</w:t>
            </w:r>
          </w:p>
        </w:tc>
      </w:tr>
      <w:tr w:rsidR="00564223" w:rsidRPr="00E05361" w14:paraId="6855EBC8" w14:textId="77777777" w:rsidTr="0097193C">
        <w:tc>
          <w:tcPr>
            <w:tcW w:w="602" w:type="dxa"/>
            <w:shd w:val="clear" w:color="auto" w:fill="E7E6E6" w:themeFill="background2"/>
          </w:tcPr>
          <w:p w14:paraId="3CF10D05" w14:textId="77777777" w:rsidR="00564223" w:rsidRPr="00564223" w:rsidRDefault="00564223" w:rsidP="0097193C">
            <w:pPr>
              <w:jc w:val="both"/>
              <w:rPr>
                <w:sz w:val="20"/>
                <w:szCs w:val="20"/>
              </w:rPr>
            </w:pPr>
            <w:bookmarkStart w:id="5" w:name="_Hlk163215489"/>
            <w:proofErr w:type="spellStart"/>
            <w:r w:rsidRPr="00564223">
              <w:rPr>
                <w:sz w:val="20"/>
                <w:szCs w:val="20"/>
              </w:rPr>
              <w:t>Q37</w:t>
            </w:r>
            <w:proofErr w:type="spellEnd"/>
          </w:p>
        </w:tc>
        <w:tc>
          <w:tcPr>
            <w:tcW w:w="1673" w:type="dxa"/>
            <w:shd w:val="clear" w:color="auto" w:fill="E7E6E6" w:themeFill="background2"/>
          </w:tcPr>
          <w:p w14:paraId="068D4493" w14:textId="77777777" w:rsidR="00564223" w:rsidRPr="00564223" w:rsidRDefault="00564223" w:rsidP="0097193C">
            <w:pPr>
              <w:rPr>
                <w:color w:val="000000"/>
                <w:sz w:val="20"/>
                <w:szCs w:val="20"/>
              </w:rPr>
            </w:pPr>
            <w:r w:rsidRPr="00564223">
              <w:rPr>
                <w:color w:val="000000"/>
                <w:sz w:val="20"/>
                <w:szCs w:val="20"/>
              </w:rPr>
              <w:t>RFP 7.1.10</w:t>
            </w:r>
          </w:p>
          <w:p w14:paraId="748C6103" w14:textId="77777777" w:rsidR="00564223" w:rsidRPr="00564223" w:rsidRDefault="00564223" w:rsidP="0097193C">
            <w:pPr>
              <w:rPr>
                <w:sz w:val="20"/>
                <w:szCs w:val="20"/>
              </w:rPr>
            </w:pPr>
            <w:r w:rsidRPr="00564223">
              <w:rPr>
                <w:color w:val="000000"/>
                <w:sz w:val="20"/>
                <w:szCs w:val="20"/>
              </w:rPr>
              <w:t>(Information Technology)</w:t>
            </w:r>
          </w:p>
        </w:tc>
        <w:tc>
          <w:tcPr>
            <w:tcW w:w="1095" w:type="dxa"/>
            <w:shd w:val="clear" w:color="auto" w:fill="E7E6E6" w:themeFill="background2"/>
          </w:tcPr>
          <w:p w14:paraId="4872B756" w14:textId="77777777" w:rsidR="00564223" w:rsidRPr="00564223" w:rsidRDefault="00564223" w:rsidP="0097193C">
            <w:pPr>
              <w:rPr>
                <w:sz w:val="20"/>
                <w:szCs w:val="20"/>
              </w:rPr>
            </w:pPr>
            <w:r w:rsidRPr="00564223">
              <w:rPr>
                <w:color w:val="000000"/>
                <w:sz w:val="20"/>
                <w:szCs w:val="20"/>
              </w:rPr>
              <w:t>45</w:t>
            </w:r>
          </w:p>
        </w:tc>
        <w:tc>
          <w:tcPr>
            <w:tcW w:w="3676" w:type="dxa"/>
            <w:shd w:val="clear" w:color="auto" w:fill="E7E6E6" w:themeFill="background2"/>
          </w:tcPr>
          <w:p w14:paraId="73F032D5" w14:textId="77777777" w:rsidR="00564223" w:rsidRPr="00564223" w:rsidRDefault="00564223" w:rsidP="0097193C">
            <w:pPr>
              <w:rPr>
                <w:b/>
                <w:bCs/>
                <w:sz w:val="20"/>
                <w:szCs w:val="20"/>
              </w:rPr>
            </w:pPr>
            <w:r w:rsidRPr="00564223">
              <w:rPr>
                <w:color w:val="000000"/>
                <w:sz w:val="20"/>
                <w:szCs w:val="20"/>
              </w:rPr>
              <w:t xml:space="preserve">Please elaborate what you mean by </w:t>
            </w:r>
            <w:r w:rsidRPr="00564223">
              <w:rPr>
                <w:i/>
                <w:iCs/>
                <w:color w:val="000000"/>
                <w:sz w:val="20"/>
                <w:szCs w:val="20"/>
              </w:rPr>
              <w:t>"Describe the on-going resources your organization will devote to research and development of your system. Include the length of time the system has been in production."</w:t>
            </w:r>
            <w:r w:rsidRPr="00564223">
              <w:rPr>
                <w:color w:val="000000"/>
                <w:sz w:val="20"/>
                <w:szCs w:val="20"/>
              </w:rPr>
              <w:t xml:space="preserve">  Are you referring to support of applications that will be used to administer ETF business?  Not sure what you mean by R&amp;D.</w:t>
            </w:r>
          </w:p>
        </w:tc>
        <w:tc>
          <w:tcPr>
            <w:tcW w:w="3214" w:type="dxa"/>
            <w:shd w:val="clear" w:color="auto" w:fill="E7E6E6" w:themeFill="background2"/>
          </w:tcPr>
          <w:p w14:paraId="60DB185A" w14:textId="77777777" w:rsidR="00564223" w:rsidRPr="00564223" w:rsidRDefault="00564223" w:rsidP="0097193C">
            <w:pPr>
              <w:rPr>
                <w:sz w:val="20"/>
                <w:szCs w:val="20"/>
                <w14:ligatures w14:val="standardContextual"/>
              </w:rPr>
            </w:pPr>
            <w:r w:rsidRPr="00564223">
              <w:rPr>
                <w:sz w:val="20"/>
                <w:szCs w:val="20"/>
                <w14:ligatures w14:val="standardContextual"/>
              </w:rPr>
              <w:t>Yes. The answer is applicable to the systems you will be using to administer the benefits under the Contract.</w:t>
            </w:r>
          </w:p>
          <w:p w14:paraId="50422204" w14:textId="77777777" w:rsidR="00564223" w:rsidRPr="00564223" w:rsidRDefault="00564223" w:rsidP="0097193C">
            <w:pPr>
              <w:rPr>
                <w:sz w:val="20"/>
                <w:szCs w:val="20"/>
                <w14:ligatures w14:val="standardContextual"/>
              </w:rPr>
            </w:pPr>
          </w:p>
          <w:p w14:paraId="141FCDD2" w14:textId="77777777" w:rsidR="00564223" w:rsidRPr="00564223" w:rsidRDefault="00564223" w:rsidP="0097193C">
            <w:pPr>
              <w:rPr>
                <w:sz w:val="20"/>
                <w:szCs w:val="20"/>
                <w14:ligatures w14:val="standardContextual"/>
              </w:rPr>
            </w:pPr>
            <w:r w:rsidRPr="00564223">
              <w:rPr>
                <w:sz w:val="20"/>
                <w:szCs w:val="20"/>
                <w14:ligatures w14:val="standardContextual"/>
              </w:rPr>
              <w:t xml:space="preserve">What we’re looking for here is: </w:t>
            </w:r>
          </w:p>
          <w:p w14:paraId="2327A704" w14:textId="77777777" w:rsidR="00564223" w:rsidRPr="00564223" w:rsidRDefault="00564223" w:rsidP="0097193C">
            <w:pPr>
              <w:rPr>
                <w:sz w:val="20"/>
                <w:szCs w:val="20"/>
                <w14:ligatures w14:val="standardContextual"/>
              </w:rPr>
            </w:pPr>
          </w:p>
          <w:p w14:paraId="433F00FF" w14:textId="77777777" w:rsidR="00564223" w:rsidRPr="00564223" w:rsidRDefault="00564223" w:rsidP="00564223">
            <w:pPr>
              <w:pStyle w:val="ListParagraph"/>
              <w:numPr>
                <w:ilvl w:val="0"/>
                <w:numId w:val="15"/>
              </w:numPr>
              <w:spacing w:before="0" w:after="0"/>
              <w:ind w:left="230" w:hanging="230"/>
              <w:contextualSpacing w:val="0"/>
              <w:rPr>
                <w:rFonts w:ascii="Arial" w:hAnsi="Arial" w:cs="Arial"/>
                <w:sz w:val="20"/>
                <w:szCs w:val="20"/>
                <w14:ligatures w14:val="standardContextual"/>
              </w:rPr>
            </w:pPr>
            <w:r w:rsidRPr="00564223">
              <w:rPr>
                <w:rFonts w:ascii="Arial" w:hAnsi="Arial" w:cs="Arial"/>
                <w:sz w:val="20"/>
                <w:szCs w:val="20"/>
                <w14:ligatures w14:val="standardContextual"/>
              </w:rPr>
              <w:t xml:space="preserve">How do you plan for and determine future system updates?  </w:t>
            </w:r>
          </w:p>
          <w:p w14:paraId="6316077C" w14:textId="77777777" w:rsidR="00564223" w:rsidRPr="00564223" w:rsidRDefault="00564223" w:rsidP="00564223">
            <w:pPr>
              <w:pStyle w:val="ListParagraph"/>
              <w:numPr>
                <w:ilvl w:val="0"/>
                <w:numId w:val="15"/>
              </w:numPr>
              <w:spacing w:before="0" w:after="0"/>
              <w:ind w:left="230" w:hanging="230"/>
              <w:contextualSpacing w:val="0"/>
              <w:rPr>
                <w:rFonts w:ascii="Arial" w:hAnsi="Arial" w:cs="Arial"/>
                <w:sz w:val="20"/>
                <w:szCs w:val="20"/>
                <w14:ligatures w14:val="standardContextual"/>
              </w:rPr>
            </w:pPr>
            <w:r w:rsidRPr="00564223">
              <w:rPr>
                <w:rFonts w:ascii="Arial" w:hAnsi="Arial" w:cs="Arial"/>
                <w:sz w:val="20"/>
                <w:szCs w:val="20"/>
                <w14:ligatures w14:val="standardContextual"/>
              </w:rPr>
              <w:t>What are the resources used to accomplish that?</w:t>
            </w:r>
          </w:p>
          <w:p w14:paraId="5F29F982" w14:textId="77777777" w:rsidR="00564223" w:rsidRPr="00564223" w:rsidRDefault="00564223" w:rsidP="00564223">
            <w:pPr>
              <w:pStyle w:val="ListParagraph"/>
              <w:numPr>
                <w:ilvl w:val="0"/>
                <w:numId w:val="15"/>
              </w:numPr>
              <w:spacing w:before="0" w:after="0"/>
              <w:ind w:left="230" w:hanging="230"/>
              <w:contextualSpacing w:val="0"/>
              <w:rPr>
                <w:rFonts w:ascii="Arial" w:hAnsi="Arial" w:cs="Arial"/>
                <w:sz w:val="20"/>
                <w:szCs w:val="20"/>
              </w:rPr>
            </w:pPr>
            <w:r w:rsidRPr="00564223">
              <w:rPr>
                <w:rFonts w:ascii="Arial" w:hAnsi="Arial" w:cs="Arial"/>
                <w:color w:val="000000"/>
                <w:sz w:val="20"/>
                <w:szCs w:val="20"/>
                <w14:ligatures w14:val="standardContextual"/>
              </w:rPr>
              <w:t>Do you have any investment in research and development and at what level?</w:t>
            </w:r>
          </w:p>
        </w:tc>
      </w:tr>
      <w:tr w:rsidR="00564223" w:rsidRPr="00E05361" w14:paraId="1CDA44A8" w14:textId="77777777" w:rsidTr="0097193C">
        <w:tc>
          <w:tcPr>
            <w:tcW w:w="602" w:type="dxa"/>
            <w:shd w:val="clear" w:color="auto" w:fill="D5DCE4" w:themeFill="text2" w:themeFillTint="33"/>
          </w:tcPr>
          <w:p w14:paraId="434345A7" w14:textId="77777777" w:rsidR="00564223" w:rsidRPr="00564223" w:rsidRDefault="00564223" w:rsidP="0097193C">
            <w:pPr>
              <w:jc w:val="both"/>
              <w:rPr>
                <w:sz w:val="20"/>
                <w:szCs w:val="20"/>
              </w:rPr>
            </w:pPr>
            <w:proofErr w:type="spellStart"/>
            <w:r w:rsidRPr="00564223">
              <w:rPr>
                <w:sz w:val="20"/>
                <w:szCs w:val="20"/>
              </w:rPr>
              <w:t>Q38</w:t>
            </w:r>
            <w:proofErr w:type="spellEnd"/>
          </w:p>
        </w:tc>
        <w:tc>
          <w:tcPr>
            <w:tcW w:w="1673" w:type="dxa"/>
            <w:shd w:val="clear" w:color="auto" w:fill="D5DCE4" w:themeFill="text2" w:themeFillTint="33"/>
          </w:tcPr>
          <w:p w14:paraId="06D3E406" w14:textId="77777777" w:rsidR="00564223" w:rsidRPr="00564223" w:rsidRDefault="00564223" w:rsidP="0097193C">
            <w:pPr>
              <w:rPr>
                <w:color w:val="000000"/>
                <w:sz w:val="20"/>
                <w:szCs w:val="20"/>
              </w:rPr>
            </w:pPr>
            <w:r w:rsidRPr="00564223">
              <w:rPr>
                <w:color w:val="000000"/>
                <w:sz w:val="20"/>
                <w:szCs w:val="20"/>
              </w:rPr>
              <w:t>RFP 7.1.11</w:t>
            </w:r>
          </w:p>
          <w:p w14:paraId="09DF712E" w14:textId="77777777" w:rsidR="00564223" w:rsidRPr="00564223" w:rsidRDefault="00564223" w:rsidP="0097193C">
            <w:pPr>
              <w:rPr>
                <w:sz w:val="20"/>
                <w:szCs w:val="20"/>
              </w:rPr>
            </w:pPr>
            <w:r w:rsidRPr="00564223">
              <w:rPr>
                <w:color w:val="000000"/>
                <w:sz w:val="20"/>
                <w:szCs w:val="20"/>
              </w:rPr>
              <w:t>(Information Technology)</w:t>
            </w:r>
          </w:p>
        </w:tc>
        <w:tc>
          <w:tcPr>
            <w:tcW w:w="1095" w:type="dxa"/>
            <w:shd w:val="clear" w:color="auto" w:fill="D5DCE4" w:themeFill="text2" w:themeFillTint="33"/>
          </w:tcPr>
          <w:p w14:paraId="5C05B1A0" w14:textId="77777777" w:rsidR="00564223" w:rsidRPr="00564223" w:rsidRDefault="00564223" w:rsidP="0097193C">
            <w:pPr>
              <w:rPr>
                <w:sz w:val="20"/>
                <w:szCs w:val="20"/>
              </w:rPr>
            </w:pPr>
            <w:r w:rsidRPr="00564223">
              <w:rPr>
                <w:color w:val="000000"/>
                <w:sz w:val="20"/>
                <w:szCs w:val="20"/>
              </w:rPr>
              <w:t>45</w:t>
            </w:r>
          </w:p>
        </w:tc>
        <w:tc>
          <w:tcPr>
            <w:tcW w:w="3676" w:type="dxa"/>
            <w:shd w:val="clear" w:color="auto" w:fill="D5DCE4" w:themeFill="text2" w:themeFillTint="33"/>
          </w:tcPr>
          <w:p w14:paraId="617C1EA4" w14:textId="77777777" w:rsidR="00564223" w:rsidRPr="00564223" w:rsidRDefault="00564223" w:rsidP="0097193C">
            <w:pPr>
              <w:rPr>
                <w:b/>
                <w:bCs/>
                <w:sz w:val="20"/>
                <w:szCs w:val="20"/>
              </w:rPr>
            </w:pPr>
            <w:r w:rsidRPr="00564223">
              <w:rPr>
                <w:color w:val="000000"/>
                <w:sz w:val="20"/>
                <w:szCs w:val="20"/>
              </w:rPr>
              <w:t>Is this for any in-flight or potentially planned platform or application changes?</w:t>
            </w:r>
          </w:p>
        </w:tc>
        <w:tc>
          <w:tcPr>
            <w:tcW w:w="3214" w:type="dxa"/>
            <w:shd w:val="clear" w:color="auto" w:fill="D5DCE4" w:themeFill="text2" w:themeFillTint="33"/>
          </w:tcPr>
          <w:p w14:paraId="71B05969" w14:textId="77777777" w:rsidR="00564223" w:rsidRPr="00564223" w:rsidRDefault="00564223" w:rsidP="0097193C">
            <w:pPr>
              <w:rPr>
                <w:sz w:val="20"/>
                <w:szCs w:val="20"/>
                <w14:ligatures w14:val="standardContextual"/>
              </w:rPr>
            </w:pPr>
            <w:r w:rsidRPr="00564223">
              <w:rPr>
                <w:sz w:val="20"/>
                <w:szCs w:val="20"/>
                <w14:ligatures w14:val="standardContextual"/>
              </w:rPr>
              <w:t xml:space="preserve">Both. </w:t>
            </w:r>
          </w:p>
          <w:p w14:paraId="1562F733" w14:textId="77777777" w:rsidR="00564223" w:rsidRPr="00564223" w:rsidRDefault="00564223" w:rsidP="0097193C">
            <w:pPr>
              <w:rPr>
                <w:sz w:val="20"/>
                <w:szCs w:val="20"/>
                <w14:ligatures w14:val="standardContextual"/>
              </w:rPr>
            </w:pPr>
          </w:p>
          <w:p w14:paraId="10B2224B" w14:textId="77777777" w:rsidR="00564223" w:rsidRPr="00564223" w:rsidRDefault="00564223" w:rsidP="0097193C">
            <w:pPr>
              <w:rPr>
                <w:sz w:val="20"/>
                <w:szCs w:val="20"/>
              </w:rPr>
            </w:pPr>
            <w:r w:rsidRPr="00564223">
              <w:rPr>
                <w:color w:val="000000"/>
                <w:sz w:val="20"/>
                <w:szCs w:val="20"/>
                <w14:ligatures w14:val="standardContextual"/>
              </w:rPr>
              <w:t>Does your organization have a plan (i.e., road map) for when and what your system is expected to provide that it does not provide now (e.g., new functions, enhancements, etc.) over a period of time, (e.g., next two years)?</w:t>
            </w:r>
          </w:p>
        </w:tc>
      </w:tr>
      <w:tr w:rsidR="00564223" w:rsidRPr="00E05361" w14:paraId="37430EF6" w14:textId="77777777" w:rsidTr="0097193C">
        <w:tc>
          <w:tcPr>
            <w:tcW w:w="602" w:type="dxa"/>
            <w:shd w:val="clear" w:color="auto" w:fill="E7E6E6" w:themeFill="background2"/>
          </w:tcPr>
          <w:p w14:paraId="7C88975A" w14:textId="77777777" w:rsidR="00564223" w:rsidRPr="00564223" w:rsidRDefault="00564223" w:rsidP="0097193C">
            <w:pPr>
              <w:jc w:val="both"/>
              <w:rPr>
                <w:sz w:val="20"/>
                <w:szCs w:val="20"/>
              </w:rPr>
            </w:pPr>
            <w:proofErr w:type="spellStart"/>
            <w:r w:rsidRPr="00564223">
              <w:rPr>
                <w:sz w:val="20"/>
                <w:szCs w:val="20"/>
              </w:rPr>
              <w:lastRenderedPageBreak/>
              <w:t>Q39</w:t>
            </w:r>
            <w:proofErr w:type="spellEnd"/>
          </w:p>
        </w:tc>
        <w:tc>
          <w:tcPr>
            <w:tcW w:w="1673" w:type="dxa"/>
            <w:shd w:val="clear" w:color="auto" w:fill="E7E6E6" w:themeFill="background2"/>
          </w:tcPr>
          <w:p w14:paraId="1F234BFD" w14:textId="77777777" w:rsidR="00564223" w:rsidRPr="00564223" w:rsidRDefault="00564223" w:rsidP="0097193C">
            <w:pPr>
              <w:rPr>
                <w:color w:val="000000"/>
                <w:sz w:val="20"/>
                <w:szCs w:val="20"/>
              </w:rPr>
            </w:pPr>
            <w:r w:rsidRPr="00564223">
              <w:rPr>
                <w:color w:val="000000"/>
                <w:sz w:val="20"/>
                <w:szCs w:val="20"/>
              </w:rPr>
              <w:t>RFP 7.1.13</w:t>
            </w:r>
          </w:p>
          <w:p w14:paraId="2826D8CB" w14:textId="77777777" w:rsidR="00564223" w:rsidRPr="00564223" w:rsidRDefault="00564223" w:rsidP="0097193C">
            <w:pPr>
              <w:rPr>
                <w:sz w:val="20"/>
                <w:szCs w:val="20"/>
              </w:rPr>
            </w:pPr>
            <w:r w:rsidRPr="00564223">
              <w:rPr>
                <w:color w:val="000000"/>
                <w:sz w:val="20"/>
                <w:szCs w:val="20"/>
              </w:rPr>
              <w:t>(Information Technology)</w:t>
            </w:r>
          </w:p>
        </w:tc>
        <w:tc>
          <w:tcPr>
            <w:tcW w:w="1095" w:type="dxa"/>
            <w:shd w:val="clear" w:color="auto" w:fill="E7E6E6" w:themeFill="background2"/>
          </w:tcPr>
          <w:p w14:paraId="755799D7" w14:textId="77777777" w:rsidR="00564223" w:rsidRPr="00564223" w:rsidRDefault="00564223" w:rsidP="0097193C">
            <w:pPr>
              <w:rPr>
                <w:sz w:val="20"/>
                <w:szCs w:val="20"/>
              </w:rPr>
            </w:pPr>
            <w:r w:rsidRPr="00564223">
              <w:rPr>
                <w:color w:val="000000"/>
                <w:sz w:val="20"/>
                <w:szCs w:val="20"/>
              </w:rPr>
              <w:t>45</w:t>
            </w:r>
          </w:p>
        </w:tc>
        <w:tc>
          <w:tcPr>
            <w:tcW w:w="3676" w:type="dxa"/>
            <w:shd w:val="clear" w:color="auto" w:fill="E7E6E6" w:themeFill="background2"/>
          </w:tcPr>
          <w:p w14:paraId="3CB5D2DA" w14:textId="77777777" w:rsidR="00564223" w:rsidRPr="00564223" w:rsidRDefault="00564223" w:rsidP="0097193C">
            <w:pPr>
              <w:rPr>
                <w:i/>
                <w:iCs/>
                <w:color w:val="000000"/>
                <w:sz w:val="20"/>
                <w:szCs w:val="20"/>
              </w:rPr>
            </w:pPr>
            <w:r w:rsidRPr="00564223">
              <w:rPr>
                <w:i/>
                <w:iCs/>
                <w:color w:val="000000"/>
                <w:sz w:val="20"/>
                <w:szCs w:val="20"/>
              </w:rPr>
              <w:t xml:space="preserve">“Describe how and when your organization will ensure that your system software </w:t>
            </w:r>
            <w:proofErr w:type="gramStart"/>
            <w:r w:rsidRPr="00564223">
              <w:rPr>
                <w:i/>
                <w:iCs/>
                <w:color w:val="000000"/>
                <w:sz w:val="20"/>
                <w:szCs w:val="20"/>
              </w:rPr>
              <w:t>is in compliance with</w:t>
            </w:r>
            <w:proofErr w:type="gramEnd"/>
            <w:r w:rsidRPr="00564223">
              <w:rPr>
                <w:i/>
                <w:iCs/>
                <w:color w:val="000000"/>
                <w:sz w:val="20"/>
                <w:szCs w:val="20"/>
              </w:rPr>
              <w:t xml:space="preserve"> applicable local, state, and federal statutes and regulations. Also, describe the process and timeline associated with your organization’s proposed system changes to accommodate applicable local, state, and federal statutes and regulations.”</w:t>
            </w:r>
          </w:p>
          <w:p w14:paraId="2666D7E1" w14:textId="77777777" w:rsidR="00564223" w:rsidRPr="00564223" w:rsidRDefault="00564223" w:rsidP="0097193C">
            <w:pPr>
              <w:rPr>
                <w:color w:val="000000"/>
                <w:sz w:val="20"/>
                <w:szCs w:val="20"/>
              </w:rPr>
            </w:pPr>
          </w:p>
          <w:p w14:paraId="52748EAE" w14:textId="77777777" w:rsidR="00564223" w:rsidRPr="00564223" w:rsidRDefault="00564223" w:rsidP="0097193C">
            <w:pPr>
              <w:rPr>
                <w:color w:val="000000"/>
                <w:sz w:val="20"/>
                <w:szCs w:val="20"/>
              </w:rPr>
            </w:pPr>
            <w:r w:rsidRPr="00564223">
              <w:rPr>
                <w:color w:val="000000"/>
                <w:sz w:val="20"/>
                <w:szCs w:val="20"/>
              </w:rPr>
              <w:t xml:space="preserve">a. Can you provide an example on what you mean by </w:t>
            </w:r>
            <w:r w:rsidRPr="00564223">
              <w:rPr>
                <w:i/>
                <w:iCs/>
                <w:color w:val="000000"/>
                <w:sz w:val="20"/>
                <w:szCs w:val="20"/>
              </w:rPr>
              <w:t xml:space="preserve">"system software is in compliance with applicable local, state, and federal statutes and regulations. Also, describe the process and timeline associated with your organization’s proposed system changes to accommodate applicable local, state, and federal statutes and regulations"? </w:t>
            </w:r>
            <w:r w:rsidRPr="00564223">
              <w:rPr>
                <w:color w:val="000000"/>
                <w:sz w:val="20"/>
                <w:szCs w:val="20"/>
              </w:rPr>
              <w:t xml:space="preserve"> </w:t>
            </w:r>
          </w:p>
          <w:p w14:paraId="5C928F09" w14:textId="77777777" w:rsidR="00564223" w:rsidRPr="00564223" w:rsidRDefault="00564223" w:rsidP="0097193C">
            <w:pPr>
              <w:rPr>
                <w:color w:val="000000"/>
                <w:sz w:val="20"/>
                <w:szCs w:val="20"/>
              </w:rPr>
            </w:pPr>
            <w:r w:rsidRPr="00564223">
              <w:rPr>
                <w:color w:val="000000"/>
                <w:sz w:val="20"/>
                <w:szCs w:val="20"/>
              </w:rPr>
              <w:t xml:space="preserve">b. What type of compliance are you referring to in terms of applicable applications?  </w:t>
            </w:r>
          </w:p>
          <w:p w14:paraId="7D8646B3" w14:textId="77777777" w:rsidR="00564223" w:rsidRPr="00564223" w:rsidRDefault="00564223" w:rsidP="0097193C">
            <w:pPr>
              <w:rPr>
                <w:b/>
                <w:bCs/>
                <w:sz w:val="20"/>
                <w:szCs w:val="20"/>
              </w:rPr>
            </w:pPr>
            <w:r w:rsidRPr="00564223">
              <w:rPr>
                <w:color w:val="000000"/>
                <w:sz w:val="20"/>
                <w:szCs w:val="20"/>
              </w:rPr>
              <w:t>c. Are you talking about HIPAA required security applications/controls?</w:t>
            </w:r>
          </w:p>
        </w:tc>
        <w:tc>
          <w:tcPr>
            <w:tcW w:w="3214" w:type="dxa"/>
            <w:shd w:val="clear" w:color="auto" w:fill="E7E6E6" w:themeFill="background2"/>
          </w:tcPr>
          <w:p w14:paraId="23533997" w14:textId="77777777" w:rsidR="00564223" w:rsidRPr="00564223" w:rsidRDefault="00564223" w:rsidP="0097193C">
            <w:pPr>
              <w:rPr>
                <w:sz w:val="20"/>
                <w:szCs w:val="20"/>
                <w14:ligatures w14:val="standardContextual"/>
              </w:rPr>
            </w:pPr>
            <w:r w:rsidRPr="00564223">
              <w:rPr>
                <w:sz w:val="20"/>
                <w:szCs w:val="20"/>
                <w14:ligatures w14:val="standardContextual"/>
              </w:rPr>
              <w:t xml:space="preserve">This would be for software you would be using to administer Medicare Advantage and/or Medicare Plus for the State. </w:t>
            </w:r>
          </w:p>
          <w:p w14:paraId="4AD5135F" w14:textId="77777777" w:rsidR="00564223" w:rsidRPr="00564223" w:rsidRDefault="00564223" w:rsidP="0097193C">
            <w:pPr>
              <w:rPr>
                <w:sz w:val="20"/>
                <w:szCs w:val="20"/>
                <w14:ligatures w14:val="standardContextual"/>
              </w:rPr>
            </w:pPr>
          </w:p>
          <w:p w14:paraId="6B550238" w14:textId="77777777" w:rsidR="00564223" w:rsidRPr="00564223" w:rsidRDefault="00564223" w:rsidP="0097193C">
            <w:pPr>
              <w:rPr>
                <w:sz w:val="20"/>
                <w:szCs w:val="20"/>
              </w:rPr>
            </w:pPr>
            <w:r w:rsidRPr="00564223">
              <w:rPr>
                <w:sz w:val="20"/>
                <w:szCs w:val="20"/>
                <w14:ligatures w14:val="standardContextual"/>
              </w:rPr>
              <w:t>There are State, federal, etc. laws and statutes that must be met when administering and providing benefits for Medicare. These could be for HIPAA, CMS, or other. For example, Medicare is in the process of requiring Medicare Advantage insurers to report race, ethnicity, and other collected data. How do you ensure you are meeting the requirements?</w:t>
            </w:r>
          </w:p>
        </w:tc>
      </w:tr>
      <w:tr w:rsidR="00564223" w:rsidRPr="00E05361" w14:paraId="3E6D3175" w14:textId="77777777" w:rsidTr="0097193C">
        <w:tc>
          <w:tcPr>
            <w:tcW w:w="602" w:type="dxa"/>
            <w:shd w:val="clear" w:color="auto" w:fill="D5DCE4" w:themeFill="text2" w:themeFillTint="33"/>
          </w:tcPr>
          <w:p w14:paraId="22A1CD82" w14:textId="77777777" w:rsidR="00564223" w:rsidRPr="00564223" w:rsidRDefault="00564223" w:rsidP="0097193C">
            <w:pPr>
              <w:jc w:val="both"/>
              <w:rPr>
                <w:sz w:val="20"/>
                <w:szCs w:val="20"/>
              </w:rPr>
            </w:pPr>
            <w:proofErr w:type="spellStart"/>
            <w:r w:rsidRPr="00564223">
              <w:rPr>
                <w:sz w:val="20"/>
                <w:szCs w:val="20"/>
              </w:rPr>
              <w:t>Q40</w:t>
            </w:r>
            <w:proofErr w:type="spellEnd"/>
          </w:p>
        </w:tc>
        <w:tc>
          <w:tcPr>
            <w:tcW w:w="1673" w:type="dxa"/>
            <w:shd w:val="clear" w:color="auto" w:fill="D5DCE4" w:themeFill="text2" w:themeFillTint="33"/>
          </w:tcPr>
          <w:p w14:paraId="3455BB69" w14:textId="77777777" w:rsidR="00564223" w:rsidRPr="00564223" w:rsidRDefault="00564223" w:rsidP="0097193C">
            <w:pPr>
              <w:rPr>
                <w:color w:val="000000"/>
                <w:sz w:val="20"/>
                <w:szCs w:val="20"/>
              </w:rPr>
            </w:pPr>
            <w:r w:rsidRPr="00564223">
              <w:rPr>
                <w:color w:val="000000"/>
                <w:sz w:val="20"/>
                <w:szCs w:val="20"/>
              </w:rPr>
              <w:t>RFP 7.1.16</w:t>
            </w:r>
          </w:p>
          <w:p w14:paraId="5803740C" w14:textId="77777777" w:rsidR="00564223" w:rsidRPr="00564223" w:rsidRDefault="00564223" w:rsidP="0097193C">
            <w:pPr>
              <w:rPr>
                <w:sz w:val="20"/>
                <w:szCs w:val="20"/>
              </w:rPr>
            </w:pPr>
            <w:r w:rsidRPr="00564223">
              <w:rPr>
                <w:color w:val="000000"/>
                <w:sz w:val="20"/>
                <w:szCs w:val="20"/>
              </w:rPr>
              <w:t>(Information Technology)</w:t>
            </w:r>
          </w:p>
        </w:tc>
        <w:tc>
          <w:tcPr>
            <w:tcW w:w="1095" w:type="dxa"/>
            <w:shd w:val="clear" w:color="auto" w:fill="D5DCE4" w:themeFill="text2" w:themeFillTint="33"/>
          </w:tcPr>
          <w:p w14:paraId="1787E673" w14:textId="77777777" w:rsidR="00564223" w:rsidRPr="00564223" w:rsidRDefault="00564223" w:rsidP="0097193C">
            <w:pPr>
              <w:rPr>
                <w:sz w:val="20"/>
                <w:szCs w:val="20"/>
              </w:rPr>
            </w:pPr>
            <w:r w:rsidRPr="00564223">
              <w:rPr>
                <w:color w:val="000000"/>
                <w:sz w:val="20"/>
                <w:szCs w:val="20"/>
              </w:rPr>
              <w:t>45</w:t>
            </w:r>
          </w:p>
        </w:tc>
        <w:tc>
          <w:tcPr>
            <w:tcW w:w="3676" w:type="dxa"/>
            <w:shd w:val="clear" w:color="auto" w:fill="D5DCE4" w:themeFill="text2" w:themeFillTint="33"/>
          </w:tcPr>
          <w:p w14:paraId="53A08771" w14:textId="77777777" w:rsidR="00564223" w:rsidRPr="00564223" w:rsidRDefault="00564223" w:rsidP="0097193C">
            <w:pPr>
              <w:rPr>
                <w:i/>
                <w:iCs/>
                <w:color w:val="000000"/>
                <w:sz w:val="20"/>
                <w:szCs w:val="20"/>
              </w:rPr>
            </w:pPr>
            <w:r w:rsidRPr="00564223">
              <w:rPr>
                <w:i/>
                <w:iCs/>
                <w:color w:val="000000"/>
                <w:sz w:val="20"/>
                <w:szCs w:val="20"/>
              </w:rPr>
              <w:t>“Describe any authentication mechanisms, identity stores, and user types that will be used as part of your detailed implementation plan.”</w:t>
            </w:r>
          </w:p>
          <w:p w14:paraId="5078E6B2" w14:textId="77777777" w:rsidR="00564223" w:rsidRPr="00564223" w:rsidRDefault="00564223" w:rsidP="0097193C">
            <w:pPr>
              <w:rPr>
                <w:color w:val="000000"/>
                <w:sz w:val="20"/>
                <w:szCs w:val="20"/>
              </w:rPr>
            </w:pPr>
          </w:p>
          <w:p w14:paraId="4937230A" w14:textId="77777777" w:rsidR="00564223" w:rsidRPr="00564223" w:rsidRDefault="00564223" w:rsidP="0097193C">
            <w:pPr>
              <w:rPr>
                <w:color w:val="000000"/>
                <w:sz w:val="20"/>
                <w:szCs w:val="20"/>
              </w:rPr>
            </w:pPr>
            <w:r w:rsidRPr="00564223">
              <w:rPr>
                <w:color w:val="000000"/>
                <w:sz w:val="20"/>
                <w:szCs w:val="20"/>
              </w:rPr>
              <w:t xml:space="preserve">a. Are you referring to a detailed implementation plan for any new system that is needed to support MA </w:t>
            </w:r>
            <w:proofErr w:type="spellStart"/>
            <w:r w:rsidRPr="00564223">
              <w:rPr>
                <w:color w:val="000000"/>
                <w:sz w:val="20"/>
                <w:szCs w:val="20"/>
              </w:rPr>
              <w:t>LOBs</w:t>
            </w:r>
            <w:proofErr w:type="spellEnd"/>
            <w:r w:rsidRPr="00564223">
              <w:rPr>
                <w:color w:val="000000"/>
                <w:sz w:val="20"/>
                <w:szCs w:val="20"/>
              </w:rPr>
              <w:t xml:space="preserve">? </w:t>
            </w:r>
          </w:p>
          <w:p w14:paraId="63481172" w14:textId="77777777" w:rsidR="00564223" w:rsidRPr="00564223" w:rsidRDefault="00564223" w:rsidP="0097193C">
            <w:pPr>
              <w:rPr>
                <w:b/>
                <w:bCs/>
                <w:sz w:val="20"/>
                <w:szCs w:val="20"/>
              </w:rPr>
            </w:pPr>
            <w:r w:rsidRPr="00564223">
              <w:rPr>
                <w:color w:val="000000"/>
                <w:sz w:val="20"/>
                <w:szCs w:val="20"/>
              </w:rPr>
              <w:t>b. Do you have certain systems in scope for this?</w:t>
            </w:r>
          </w:p>
        </w:tc>
        <w:tc>
          <w:tcPr>
            <w:tcW w:w="3214" w:type="dxa"/>
            <w:shd w:val="clear" w:color="auto" w:fill="D5DCE4" w:themeFill="text2" w:themeFillTint="33"/>
          </w:tcPr>
          <w:p w14:paraId="5ED221F2" w14:textId="77777777" w:rsidR="00564223" w:rsidRPr="00564223" w:rsidRDefault="00564223" w:rsidP="0097193C">
            <w:pPr>
              <w:rPr>
                <w:sz w:val="20"/>
                <w:szCs w:val="20"/>
              </w:rPr>
            </w:pPr>
            <w:r w:rsidRPr="00564223">
              <w:rPr>
                <w:sz w:val="20"/>
                <w:szCs w:val="20"/>
                <w14:ligatures w14:val="standardContextual"/>
              </w:rPr>
              <w:t xml:space="preserve">For the systems you will be using to administer Medicare Advantage and/or Medicare Plus for the State what are the identity management systems that your solution supports? </w:t>
            </w:r>
            <w:r w:rsidRPr="00564223">
              <w:rPr>
                <w:sz w:val="20"/>
                <w:szCs w:val="20"/>
              </w:rPr>
              <w:t xml:space="preserve"> </w:t>
            </w:r>
          </w:p>
        </w:tc>
      </w:tr>
      <w:tr w:rsidR="00564223" w:rsidRPr="00E05361" w14:paraId="3700F361" w14:textId="77777777" w:rsidTr="0097193C">
        <w:tc>
          <w:tcPr>
            <w:tcW w:w="602" w:type="dxa"/>
            <w:shd w:val="clear" w:color="auto" w:fill="E7E6E6" w:themeFill="background2"/>
          </w:tcPr>
          <w:p w14:paraId="7E0F2899" w14:textId="77777777" w:rsidR="00564223" w:rsidRPr="00564223" w:rsidRDefault="00564223" w:rsidP="0097193C">
            <w:pPr>
              <w:jc w:val="both"/>
              <w:rPr>
                <w:sz w:val="20"/>
                <w:szCs w:val="20"/>
              </w:rPr>
            </w:pPr>
            <w:proofErr w:type="spellStart"/>
            <w:r w:rsidRPr="00564223">
              <w:rPr>
                <w:sz w:val="20"/>
                <w:szCs w:val="20"/>
              </w:rPr>
              <w:t>Q41</w:t>
            </w:r>
            <w:proofErr w:type="spellEnd"/>
          </w:p>
        </w:tc>
        <w:tc>
          <w:tcPr>
            <w:tcW w:w="1673" w:type="dxa"/>
            <w:shd w:val="clear" w:color="auto" w:fill="E7E6E6" w:themeFill="background2"/>
          </w:tcPr>
          <w:p w14:paraId="26956048" w14:textId="77777777" w:rsidR="00564223" w:rsidRPr="00564223" w:rsidRDefault="00564223" w:rsidP="0097193C">
            <w:pPr>
              <w:rPr>
                <w:color w:val="000000"/>
                <w:sz w:val="20"/>
                <w:szCs w:val="20"/>
              </w:rPr>
            </w:pPr>
            <w:r w:rsidRPr="00564223">
              <w:rPr>
                <w:color w:val="000000"/>
                <w:sz w:val="20"/>
                <w:szCs w:val="20"/>
              </w:rPr>
              <w:t>RFP 7.2.16</w:t>
            </w:r>
          </w:p>
          <w:p w14:paraId="4B9B76CF" w14:textId="77777777" w:rsidR="00564223" w:rsidRPr="00564223" w:rsidRDefault="00564223" w:rsidP="0097193C">
            <w:pPr>
              <w:rPr>
                <w:sz w:val="20"/>
                <w:szCs w:val="20"/>
              </w:rPr>
            </w:pPr>
            <w:r w:rsidRPr="00564223">
              <w:rPr>
                <w:sz w:val="20"/>
                <w:szCs w:val="20"/>
              </w:rPr>
              <w:t>(Computer and Data Processing Facilities, Data Policies)</w:t>
            </w:r>
          </w:p>
        </w:tc>
        <w:tc>
          <w:tcPr>
            <w:tcW w:w="1095" w:type="dxa"/>
            <w:shd w:val="clear" w:color="auto" w:fill="E7E6E6" w:themeFill="background2"/>
          </w:tcPr>
          <w:p w14:paraId="2629B612" w14:textId="77777777" w:rsidR="00564223" w:rsidRPr="00564223" w:rsidRDefault="00564223" w:rsidP="0097193C">
            <w:pPr>
              <w:rPr>
                <w:sz w:val="20"/>
                <w:szCs w:val="20"/>
              </w:rPr>
            </w:pPr>
            <w:r w:rsidRPr="00564223">
              <w:rPr>
                <w:color w:val="000000"/>
                <w:sz w:val="20"/>
                <w:szCs w:val="20"/>
              </w:rPr>
              <w:t>47</w:t>
            </w:r>
          </w:p>
        </w:tc>
        <w:tc>
          <w:tcPr>
            <w:tcW w:w="3676" w:type="dxa"/>
            <w:shd w:val="clear" w:color="auto" w:fill="E7E6E6" w:themeFill="background2"/>
          </w:tcPr>
          <w:p w14:paraId="293AA655" w14:textId="77777777" w:rsidR="00564223" w:rsidRPr="00564223" w:rsidRDefault="00564223" w:rsidP="0097193C">
            <w:pPr>
              <w:rPr>
                <w:i/>
                <w:iCs/>
                <w:sz w:val="20"/>
                <w:szCs w:val="20"/>
              </w:rPr>
            </w:pPr>
            <w:r w:rsidRPr="00564223">
              <w:rPr>
                <w:i/>
                <w:iCs/>
                <w:color w:val="000000"/>
                <w:sz w:val="20"/>
                <w:szCs w:val="20"/>
              </w:rPr>
              <w:t>“</w:t>
            </w:r>
            <w:r w:rsidRPr="00564223">
              <w:rPr>
                <w:i/>
                <w:iCs/>
                <w:sz w:val="20"/>
                <w:szCs w:val="20"/>
              </w:rPr>
              <w:t>Does your organization have a cloud exit strategy to export a client’s data that is processed, transmitted, or stored by your organization? If yes, provide the exit strategy. The Contractor will be required to provide a formal cloud exit strategy during the term of the Contract.”</w:t>
            </w:r>
          </w:p>
          <w:p w14:paraId="4A0BE3E5" w14:textId="77777777" w:rsidR="00564223" w:rsidRPr="00564223" w:rsidRDefault="00564223" w:rsidP="0097193C">
            <w:pPr>
              <w:rPr>
                <w:color w:val="000000"/>
                <w:sz w:val="20"/>
                <w:szCs w:val="20"/>
              </w:rPr>
            </w:pPr>
          </w:p>
          <w:p w14:paraId="453299F0" w14:textId="77777777" w:rsidR="00564223" w:rsidRPr="00564223" w:rsidRDefault="00564223" w:rsidP="0097193C">
            <w:pPr>
              <w:rPr>
                <w:color w:val="000000"/>
                <w:sz w:val="20"/>
                <w:szCs w:val="20"/>
              </w:rPr>
            </w:pPr>
            <w:r w:rsidRPr="00564223">
              <w:rPr>
                <w:color w:val="000000"/>
                <w:sz w:val="20"/>
                <w:szCs w:val="20"/>
              </w:rPr>
              <w:lastRenderedPageBreak/>
              <w:t xml:space="preserve">a. Not sure what you mean by a cloud exit strategy to export a client’s data that is processed, transmitted, or stored by your organization. Are you referring to data removal/destruction processes for in scope data in the cloud?  </w:t>
            </w:r>
          </w:p>
          <w:p w14:paraId="41486C8C" w14:textId="77777777" w:rsidR="00564223" w:rsidRPr="00564223" w:rsidRDefault="00564223" w:rsidP="0097193C">
            <w:pPr>
              <w:rPr>
                <w:b/>
                <w:bCs/>
                <w:sz w:val="20"/>
                <w:szCs w:val="20"/>
              </w:rPr>
            </w:pPr>
            <w:r w:rsidRPr="00564223">
              <w:rPr>
                <w:color w:val="000000"/>
                <w:sz w:val="20"/>
                <w:szCs w:val="20"/>
              </w:rPr>
              <w:t>b. Do you mean migrate data off the cloud to some other platform?</w:t>
            </w:r>
          </w:p>
        </w:tc>
        <w:tc>
          <w:tcPr>
            <w:tcW w:w="3214" w:type="dxa"/>
            <w:shd w:val="clear" w:color="auto" w:fill="E7E6E6" w:themeFill="background2"/>
          </w:tcPr>
          <w:p w14:paraId="127900F7" w14:textId="77777777" w:rsidR="00564223" w:rsidRPr="00564223" w:rsidRDefault="00564223" w:rsidP="0097193C">
            <w:pPr>
              <w:spacing w:line="252" w:lineRule="auto"/>
              <w:rPr>
                <w:color w:val="000000"/>
                <w:sz w:val="20"/>
                <w:szCs w:val="20"/>
                <w14:ligatures w14:val="standardContextual"/>
              </w:rPr>
            </w:pPr>
            <w:r w:rsidRPr="00564223">
              <w:rPr>
                <w:color w:val="000000"/>
                <w:sz w:val="20"/>
                <w:szCs w:val="20"/>
                <w14:ligatures w14:val="standardContextual"/>
              </w:rPr>
              <w:lastRenderedPageBreak/>
              <w:t>Provide your documented processes and procedures if DEPARTMENT terminates a business relationship with your company, e.g., if your solution is in the cloud, how does the DEPARTMENT move off your cloud platform?</w:t>
            </w:r>
          </w:p>
          <w:p w14:paraId="4726CFDC" w14:textId="77777777" w:rsidR="00564223" w:rsidRPr="00564223" w:rsidRDefault="00564223" w:rsidP="0097193C">
            <w:pPr>
              <w:jc w:val="both"/>
              <w:rPr>
                <w:sz w:val="20"/>
                <w:szCs w:val="20"/>
              </w:rPr>
            </w:pPr>
          </w:p>
        </w:tc>
      </w:tr>
      <w:tr w:rsidR="00564223" w:rsidRPr="00E05361" w14:paraId="56E12198" w14:textId="77777777" w:rsidTr="0097193C">
        <w:tc>
          <w:tcPr>
            <w:tcW w:w="602" w:type="dxa"/>
            <w:shd w:val="clear" w:color="auto" w:fill="D5DCE4" w:themeFill="text2" w:themeFillTint="33"/>
          </w:tcPr>
          <w:p w14:paraId="3A859C84" w14:textId="77777777" w:rsidR="00564223" w:rsidRPr="00564223" w:rsidRDefault="00564223" w:rsidP="0097193C">
            <w:pPr>
              <w:jc w:val="both"/>
              <w:rPr>
                <w:sz w:val="20"/>
                <w:szCs w:val="20"/>
              </w:rPr>
            </w:pPr>
            <w:proofErr w:type="spellStart"/>
            <w:r w:rsidRPr="00564223">
              <w:rPr>
                <w:sz w:val="20"/>
                <w:szCs w:val="20"/>
              </w:rPr>
              <w:t>Q42</w:t>
            </w:r>
            <w:proofErr w:type="spellEnd"/>
          </w:p>
        </w:tc>
        <w:tc>
          <w:tcPr>
            <w:tcW w:w="1673" w:type="dxa"/>
            <w:shd w:val="clear" w:color="auto" w:fill="D5DCE4" w:themeFill="text2" w:themeFillTint="33"/>
          </w:tcPr>
          <w:p w14:paraId="32D24A59" w14:textId="77777777" w:rsidR="00564223" w:rsidRPr="00564223" w:rsidRDefault="00564223" w:rsidP="0097193C">
            <w:pPr>
              <w:rPr>
                <w:color w:val="000000"/>
                <w:sz w:val="20"/>
                <w:szCs w:val="20"/>
              </w:rPr>
            </w:pPr>
            <w:r w:rsidRPr="00564223">
              <w:rPr>
                <w:color w:val="000000"/>
                <w:sz w:val="20"/>
                <w:szCs w:val="20"/>
              </w:rPr>
              <w:t>RFP 7.3.10</w:t>
            </w:r>
          </w:p>
          <w:p w14:paraId="487AFC5E" w14:textId="77777777" w:rsidR="00564223" w:rsidRPr="00564223" w:rsidRDefault="00564223" w:rsidP="0097193C">
            <w:pPr>
              <w:rPr>
                <w:sz w:val="20"/>
                <w:szCs w:val="20"/>
              </w:rPr>
            </w:pPr>
            <w:r w:rsidRPr="00564223">
              <w:rPr>
                <w:sz w:val="20"/>
                <w:szCs w:val="20"/>
              </w:rPr>
              <w:t>(Information Security)</w:t>
            </w:r>
          </w:p>
        </w:tc>
        <w:tc>
          <w:tcPr>
            <w:tcW w:w="1095" w:type="dxa"/>
            <w:shd w:val="clear" w:color="auto" w:fill="D5DCE4" w:themeFill="text2" w:themeFillTint="33"/>
          </w:tcPr>
          <w:p w14:paraId="3130794B" w14:textId="77777777" w:rsidR="00564223" w:rsidRPr="00564223" w:rsidRDefault="00564223" w:rsidP="0097193C">
            <w:pPr>
              <w:rPr>
                <w:sz w:val="20"/>
                <w:szCs w:val="20"/>
              </w:rPr>
            </w:pPr>
            <w:r w:rsidRPr="00564223">
              <w:rPr>
                <w:color w:val="000000"/>
                <w:sz w:val="20"/>
                <w:szCs w:val="20"/>
              </w:rPr>
              <w:t>48</w:t>
            </w:r>
          </w:p>
        </w:tc>
        <w:tc>
          <w:tcPr>
            <w:tcW w:w="3676" w:type="dxa"/>
            <w:shd w:val="clear" w:color="auto" w:fill="D5DCE4" w:themeFill="text2" w:themeFillTint="33"/>
          </w:tcPr>
          <w:p w14:paraId="2BA9EF3D" w14:textId="77777777" w:rsidR="00564223" w:rsidRPr="00564223" w:rsidRDefault="00564223" w:rsidP="0097193C">
            <w:pPr>
              <w:rPr>
                <w:i/>
                <w:iCs/>
                <w:color w:val="000000"/>
                <w:sz w:val="20"/>
                <w:szCs w:val="20"/>
              </w:rPr>
            </w:pPr>
            <w:r w:rsidRPr="00564223">
              <w:rPr>
                <w:i/>
                <w:iCs/>
                <w:color w:val="000000"/>
                <w:sz w:val="20"/>
                <w:szCs w:val="20"/>
              </w:rPr>
              <w:t>“Will your product/service require any on-premises deployment?”</w:t>
            </w:r>
          </w:p>
          <w:p w14:paraId="314BCB75" w14:textId="77777777" w:rsidR="00564223" w:rsidRPr="00564223" w:rsidRDefault="00564223" w:rsidP="0097193C">
            <w:pPr>
              <w:rPr>
                <w:color w:val="000000"/>
                <w:sz w:val="20"/>
                <w:szCs w:val="20"/>
              </w:rPr>
            </w:pPr>
          </w:p>
          <w:p w14:paraId="43C9083E" w14:textId="77777777" w:rsidR="00564223" w:rsidRPr="00564223" w:rsidRDefault="00564223" w:rsidP="0097193C">
            <w:pPr>
              <w:rPr>
                <w:b/>
                <w:bCs/>
                <w:sz w:val="20"/>
                <w:szCs w:val="20"/>
              </w:rPr>
            </w:pPr>
            <w:r w:rsidRPr="00564223">
              <w:rPr>
                <w:color w:val="000000"/>
                <w:sz w:val="20"/>
                <w:szCs w:val="20"/>
              </w:rPr>
              <w:t>Would you like us to indicate if we would be adding any new on-Prem software to support the MA LOB?</w:t>
            </w:r>
          </w:p>
        </w:tc>
        <w:tc>
          <w:tcPr>
            <w:tcW w:w="3214" w:type="dxa"/>
            <w:shd w:val="clear" w:color="auto" w:fill="D5DCE4" w:themeFill="text2" w:themeFillTint="33"/>
          </w:tcPr>
          <w:p w14:paraId="124E09F8" w14:textId="77777777" w:rsidR="00564223" w:rsidRPr="00564223" w:rsidRDefault="00564223" w:rsidP="0097193C">
            <w:pPr>
              <w:rPr>
                <w:sz w:val="20"/>
                <w:szCs w:val="20"/>
              </w:rPr>
            </w:pPr>
            <w:r w:rsidRPr="00564223">
              <w:rPr>
                <w:color w:val="000000"/>
                <w:sz w:val="20"/>
                <w:szCs w:val="20"/>
                <w14:ligatures w14:val="standardContextual"/>
              </w:rPr>
              <w:t xml:space="preserve">No. We are asking if your solution will require any on-premises IT components at the DEPARTMENT’S location in Madison, WI. </w:t>
            </w:r>
          </w:p>
        </w:tc>
      </w:tr>
      <w:tr w:rsidR="00564223" w:rsidRPr="00E05361" w14:paraId="21B2467F" w14:textId="77777777" w:rsidTr="0097193C">
        <w:tc>
          <w:tcPr>
            <w:tcW w:w="602" w:type="dxa"/>
            <w:shd w:val="clear" w:color="auto" w:fill="E7E6E6" w:themeFill="background2"/>
          </w:tcPr>
          <w:p w14:paraId="15D2AE65" w14:textId="77777777" w:rsidR="00564223" w:rsidRPr="00564223" w:rsidRDefault="00564223" w:rsidP="0097193C">
            <w:pPr>
              <w:jc w:val="both"/>
              <w:rPr>
                <w:sz w:val="20"/>
                <w:szCs w:val="20"/>
              </w:rPr>
            </w:pPr>
            <w:bookmarkStart w:id="6" w:name="OLE_LINK1"/>
            <w:bookmarkEnd w:id="5"/>
            <w:proofErr w:type="spellStart"/>
            <w:r w:rsidRPr="00564223">
              <w:rPr>
                <w:sz w:val="20"/>
                <w:szCs w:val="20"/>
              </w:rPr>
              <w:t>Q43</w:t>
            </w:r>
            <w:proofErr w:type="spellEnd"/>
          </w:p>
        </w:tc>
        <w:tc>
          <w:tcPr>
            <w:tcW w:w="1673" w:type="dxa"/>
            <w:shd w:val="clear" w:color="auto" w:fill="E7E6E6" w:themeFill="background2"/>
          </w:tcPr>
          <w:p w14:paraId="4E791AED" w14:textId="77777777" w:rsidR="00564223" w:rsidRPr="00564223" w:rsidRDefault="00564223" w:rsidP="0097193C">
            <w:pPr>
              <w:rPr>
                <w:sz w:val="20"/>
                <w:szCs w:val="20"/>
              </w:rPr>
            </w:pPr>
            <w:r w:rsidRPr="00564223">
              <w:rPr>
                <w:color w:val="000000"/>
                <w:sz w:val="20"/>
                <w:szCs w:val="20"/>
              </w:rPr>
              <w:t>RFP 7.13.3</w:t>
            </w:r>
            <w:r w:rsidRPr="00564223">
              <w:rPr>
                <w:sz w:val="20"/>
                <w:szCs w:val="20"/>
              </w:rPr>
              <w:t xml:space="preserve"> (</w:t>
            </w:r>
            <w:r w:rsidRPr="00564223">
              <w:rPr>
                <w:color w:val="000000"/>
                <w:sz w:val="20"/>
                <w:szCs w:val="20"/>
              </w:rPr>
              <w:t>ETD0050 IYC Medicare Advantage Population Health Management and Wellness)</w:t>
            </w:r>
          </w:p>
        </w:tc>
        <w:tc>
          <w:tcPr>
            <w:tcW w:w="1095" w:type="dxa"/>
            <w:shd w:val="clear" w:color="auto" w:fill="E7E6E6" w:themeFill="background2"/>
          </w:tcPr>
          <w:p w14:paraId="170AE5D2" w14:textId="77777777" w:rsidR="00564223" w:rsidRPr="00564223" w:rsidRDefault="00564223" w:rsidP="0097193C">
            <w:pPr>
              <w:rPr>
                <w:sz w:val="20"/>
                <w:szCs w:val="20"/>
              </w:rPr>
            </w:pPr>
            <w:r w:rsidRPr="00564223">
              <w:rPr>
                <w:color w:val="000000"/>
                <w:sz w:val="20"/>
                <w:szCs w:val="20"/>
              </w:rPr>
              <w:t>66</w:t>
            </w:r>
          </w:p>
        </w:tc>
        <w:tc>
          <w:tcPr>
            <w:tcW w:w="3676" w:type="dxa"/>
            <w:shd w:val="clear" w:color="auto" w:fill="E7E6E6" w:themeFill="background2"/>
          </w:tcPr>
          <w:p w14:paraId="181F5619" w14:textId="77777777" w:rsidR="00564223" w:rsidRPr="00564223" w:rsidRDefault="00564223" w:rsidP="0097193C">
            <w:pPr>
              <w:rPr>
                <w:b/>
                <w:bCs/>
                <w:sz w:val="20"/>
                <w:szCs w:val="20"/>
              </w:rPr>
            </w:pPr>
            <w:r w:rsidRPr="00564223">
              <w:rPr>
                <w:color w:val="000000"/>
                <w:sz w:val="20"/>
                <w:szCs w:val="20"/>
              </w:rPr>
              <w:t>What, if any, restrictions will ETF place on the Medicare specific enhanced wellness offerings?  For example, if multiple health plans are awarded contracts will the wellness benefit be uniform across all plans?</w:t>
            </w:r>
          </w:p>
        </w:tc>
        <w:tc>
          <w:tcPr>
            <w:tcW w:w="3214" w:type="dxa"/>
            <w:shd w:val="clear" w:color="auto" w:fill="E7E6E6" w:themeFill="background2"/>
          </w:tcPr>
          <w:p w14:paraId="0536C864" w14:textId="77777777" w:rsidR="00564223" w:rsidRPr="00564223" w:rsidRDefault="00564223" w:rsidP="0097193C">
            <w:pPr>
              <w:rPr>
                <w:color w:val="000000"/>
                <w:sz w:val="20"/>
                <w:szCs w:val="20"/>
              </w:rPr>
            </w:pPr>
            <w:r w:rsidRPr="00564223">
              <w:rPr>
                <w:color w:val="000000"/>
                <w:sz w:val="20"/>
                <w:szCs w:val="20"/>
              </w:rPr>
              <w:t xml:space="preserve">The Department will evaluate the information provided in proposer responses and bring forward a recommendation to the Board on the wellness policy and approach, taking into consideration the offerings available through the Medicare Advantage health plan, the anticipated impact of said offerings, and the other wellness benefits available external to the Medicare Advantage health plan. </w:t>
            </w:r>
          </w:p>
        </w:tc>
      </w:tr>
      <w:bookmarkEnd w:id="6"/>
      <w:tr w:rsidR="00564223" w:rsidRPr="00E05361" w14:paraId="1CB5490E" w14:textId="77777777" w:rsidTr="0097193C">
        <w:trPr>
          <w:trHeight w:val="3689"/>
        </w:trPr>
        <w:tc>
          <w:tcPr>
            <w:tcW w:w="602" w:type="dxa"/>
            <w:shd w:val="clear" w:color="auto" w:fill="D5DCE4" w:themeFill="text2" w:themeFillTint="33"/>
          </w:tcPr>
          <w:p w14:paraId="4F474962" w14:textId="77777777" w:rsidR="00564223" w:rsidRPr="00564223" w:rsidRDefault="00564223" w:rsidP="0097193C">
            <w:pPr>
              <w:jc w:val="both"/>
              <w:rPr>
                <w:sz w:val="20"/>
                <w:szCs w:val="20"/>
              </w:rPr>
            </w:pPr>
            <w:proofErr w:type="spellStart"/>
            <w:r w:rsidRPr="00564223">
              <w:rPr>
                <w:sz w:val="20"/>
                <w:szCs w:val="20"/>
              </w:rPr>
              <w:t>Q44</w:t>
            </w:r>
            <w:proofErr w:type="spellEnd"/>
          </w:p>
        </w:tc>
        <w:tc>
          <w:tcPr>
            <w:tcW w:w="1673" w:type="dxa"/>
            <w:shd w:val="clear" w:color="auto" w:fill="D5DCE4" w:themeFill="text2" w:themeFillTint="33"/>
          </w:tcPr>
          <w:p w14:paraId="7CD706DF" w14:textId="77777777" w:rsidR="00564223" w:rsidRPr="00564223" w:rsidRDefault="00564223" w:rsidP="0097193C">
            <w:pPr>
              <w:rPr>
                <w:sz w:val="20"/>
                <w:szCs w:val="20"/>
              </w:rPr>
            </w:pPr>
            <w:r w:rsidRPr="00564223">
              <w:rPr>
                <w:color w:val="000000"/>
                <w:sz w:val="20"/>
                <w:szCs w:val="20"/>
              </w:rPr>
              <w:t xml:space="preserve">Form F - Vendor References </w:t>
            </w:r>
          </w:p>
        </w:tc>
        <w:tc>
          <w:tcPr>
            <w:tcW w:w="1095" w:type="dxa"/>
            <w:shd w:val="clear" w:color="auto" w:fill="D5DCE4" w:themeFill="text2" w:themeFillTint="33"/>
          </w:tcPr>
          <w:p w14:paraId="602F83C8" w14:textId="77777777" w:rsidR="00564223" w:rsidRPr="00564223" w:rsidRDefault="00564223" w:rsidP="0097193C">
            <w:pPr>
              <w:rPr>
                <w:sz w:val="20"/>
                <w:szCs w:val="20"/>
              </w:rPr>
            </w:pPr>
            <w:r w:rsidRPr="00564223">
              <w:rPr>
                <w:color w:val="000000"/>
                <w:sz w:val="20"/>
                <w:szCs w:val="20"/>
              </w:rPr>
              <w:t>n/a</w:t>
            </w:r>
          </w:p>
        </w:tc>
        <w:tc>
          <w:tcPr>
            <w:tcW w:w="3676" w:type="dxa"/>
            <w:shd w:val="clear" w:color="auto" w:fill="D5DCE4" w:themeFill="text2" w:themeFillTint="33"/>
          </w:tcPr>
          <w:p w14:paraId="19DF89B8" w14:textId="77777777" w:rsidR="00564223" w:rsidRPr="00564223" w:rsidRDefault="00564223" w:rsidP="0097193C">
            <w:pPr>
              <w:rPr>
                <w:b/>
                <w:bCs/>
                <w:sz w:val="20"/>
                <w:szCs w:val="20"/>
              </w:rPr>
            </w:pPr>
            <w:r w:rsidRPr="00564223">
              <w:rPr>
                <w:color w:val="000000"/>
                <w:sz w:val="20"/>
                <w:szCs w:val="20"/>
              </w:rPr>
              <w:t xml:space="preserve">Form F Vendor References indicates vendors are to provide at least one reference that is an entity with enrollment of at least 100,000 employees and one reference a public sector employer group of over 50,000 employees.  Please provide direction on how to respond if the vendor does not serve an employer group this large. </w:t>
            </w:r>
          </w:p>
        </w:tc>
        <w:tc>
          <w:tcPr>
            <w:tcW w:w="3214" w:type="dxa"/>
            <w:shd w:val="clear" w:color="auto" w:fill="D5DCE4" w:themeFill="text2" w:themeFillTint="33"/>
          </w:tcPr>
          <w:p w14:paraId="2FB30733" w14:textId="77777777" w:rsidR="00564223" w:rsidRPr="00564223" w:rsidRDefault="00564223" w:rsidP="0097193C">
            <w:pPr>
              <w:rPr>
                <w:sz w:val="20"/>
                <w:szCs w:val="20"/>
              </w:rPr>
            </w:pPr>
            <w:r w:rsidRPr="00564223">
              <w:rPr>
                <w:sz w:val="20"/>
                <w:szCs w:val="20"/>
              </w:rPr>
              <w:t xml:space="preserve">100,000 was incorrectly stated in Form F; that number has been changed to 50,000 (a revised Form F was uploaded on 4/5/2024 to  </w:t>
            </w:r>
            <w:hyperlink r:id="rId16" w:history="1">
              <w:r w:rsidRPr="00564223">
                <w:rPr>
                  <w:rStyle w:val="Hyperlink"/>
                  <w:sz w:val="20"/>
                  <w:szCs w:val="20"/>
                </w:rPr>
                <w:t>https://etf.wi.gov/node/35426 on April 5</w:t>
              </w:r>
            </w:hyperlink>
            <w:r w:rsidRPr="00564223">
              <w:rPr>
                <w:rStyle w:val="Hyperlink"/>
                <w:sz w:val="20"/>
                <w:szCs w:val="20"/>
              </w:rPr>
              <w:t>, 2024</w:t>
            </w:r>
            <w:r w:rsidRPr="00564223">
              <w:rPr>
                <w:sz w:val="20"/>
                <w:szCs w:val="20"/>
              </w:rPr>
              <w:t xml:space="preserve">. The number of 50,000, stated in RFP section </w:t>
            </w:r>
            <w:proofErr w:type="spellStart"/>
            <w:r w:rsidRPr="00564223">
              <w:rPr>
                <w:sz w:val="20"/>
                <w:szCs w:val="20"/>
              </w:rPr>
              <w:t>3.3.c</w:t>
            </w:r>
            <w:proofErr w:type="spellEnd"/>
            <w:r w:rsidRPr="00564223">
              <w:rPr>
                <w:sz w:val="20"/>
                <w:szCs w:val="20"/>
              </w:rPr>
              <w:t xml:space="preserve">., is correct. </w:t>
            </w:r>
          </w:p>
          <w:p w14:paraId="02280194" w14:textId="77777777" w:rsidR="00564223" w:rsidRPr="00564223" w:rsidRDefault="00564223" w:rsidP="0097193C">
            <w:pPr>
              <w:rPr>
                <w:sz w:val="20"/>
                <w:szCs w:val="20"/>
              </w:rPr>
            </w:pPr>
          </w:p>
          <w:p w14:paraId="53D13A45" w14:textId="77777777" w:rsidR="00564223" w:rsidRPr="00564223" w:rsidRDefault="00564223" w:rsidP="0097193C">
            <w:pPr>
              <w:rPr>
                <w:sz w:val="20"/>
                <w:szCs w:val="20"/>
              </w:rPr>
            </w:pPr>
            <w:r w:rsidRPr="00564223">
              <w:rPr>
                <w:sz w:val="20"/>
                <w:szCs w:val="20"/>
              </w:rPr>
              <w:t xml:space="preserve">If you do not currently have a reference with 50,000 subscribers (or employees), provide references for your largest public employers. List how many subscribers are in each employer group. </w:t>
            </w:r>
          </w:p>
        </w:tc>
      </w:tr>
      <w:tr w:rsidR="00564223" w:rsidRPr="00E05361" w14:paraId="1691E425" w14:textId="77777777" w:rsidTr="0097193C">
        <w:tc>
          <w:tcPr>
            <w:tcW w:w="602" w:type="dxa"/>
            <w:shd w:val="clear" w:color="auto" w:fill="E7E6E6" w:themeFill="background2"/>
          </w:tcPr>
          <w:p w14:paraId="71C05C59" w14:textId="77777777" w:rsidR="00564223" w:rsidRPr="00564223" w:rsidRDefault="00564223" w:rsidP="0097193C">
            <w:pPr>
              <w:jc w:val="both"/>
              <w:rPr>
                <w:sz w:val="20"/>
                <w:szCs w:val="20"/>
              </w:rPr>
            </w:pPr>
            <w:bookmarkStart w:id="7" w:name="_Hlk163215506"/>
            <w:proofErr w:type="spellStart"/>
            <w:r w:rsidRPr="00564223">
              <w:rPr>
                <w:sz w:val="20"/>
                <w:szCs w:val="20"/>
              </w:rPr>
              <w:t>Q45</w:t>
            </w:r>
            <w:proofErr w:type="spellEnd"/>
          </w:p>
        </w:tc>
        <w:tc>
          <w:tcPr>
            <w:tcW w:w="1673" w:type="dxa"/>
            <w:shd w:val="clear" w:color="auto" w:fill="E7E6E6" w:themeFill="background2"/>
          </w:tcPr>
          <w:p w14:paraId="7BA3C05C" w14:textId="77777777" w:rsidR="00564223" w:rsidRPr="00564223" w:rsidRDefault="00564223" w:rsidP="0097193C">
            <w:pPr>
              <w:rPr>
                <w:sz w:val="20"/>
                <w:szCs w:val="20"/>
              </w:rPr>
            </w:pPr>
            <w:r w:rsidRPr="00564223">
              <w:rPr>
                <w:color w:val="000000"/>
                <w:sz w:val="20"/>
                <w:szCs w:val="20"/>
              </w:rPr>
              <w:t xml:space="preserve">RFP 7.1.6, 7.1.7, 7.1.8 </w:t>
            </w:r>
            <w:r w:rsidRPr="00564223">
              <w:rPr>
                <w:color w:val="000000"/>
                <w:sz w:val="20"/>
                <w:szCs w:val="20"/>
              </w:rPr>
              <w:lastRenderedPageBreak/>
              <w:t>(Information Technology)</w:t>
            </w:r>
          </w:p>
        </w:tc>
        <w:tc>
          <w:tcPr>
            <w:tcW w:w="1095" w:type="dxa"/>
            <w:shd w:val="clear" w:color="auto" w:fill="E7E6E6" w:themeFill="background2"/>
          </w:tcPr>
          <w:p w14:paraId="54177757" w14:textId="77777777" w:rsidR="00564223" w:rsidRPr="00564223" w:rsidRDefault="00564223" w:rsidP="0097193C">
            <w:pPr>
              <w:rPr>
                <w:sz w:val="20"/>
                <w:szCs w:val="20"/>
              </w:rPr>
            </w:pPr>
            <w:r w:rsidRPr="00564223">
              <w:rPr>
                <w:color w:val="000000"/>
                <w:sz w:val="20"/>
                <w:szCs w:val="20"/>
              </w:rPr>
              <w:lastRenderedPageBreak/>
              <w:t>44-45</w:t>
            </w:r>
          </w:p>
        </w:tc>
        <w:tc>
          <w:tcPr>
            <w:tcW w:w="3676" w:type="dxa"/>
            <w:shd w:val="clear" w:color="auto" w:fill="E7E6E6" w:themeFill="background2"/>
          </w:tcPr>
          <w:p w14:paraId="234A306E" w14:textId="77777777" w:rsidR="00564223" w:rsidRPr="00564223" w:rsidRDefault="00564223" w:rsidP="0097193C">
            <w:pPr>
              <w:rPr>
                <w:b/>
                <w:bCs/>
                <w:sz w:val="20"/>
                <w:szCs w:val="20"/>
              </w:rPr>
            </w:pPr>
            <w:r w:rsidRPr="00564223">
              <w:rPr>
                <w:color w:val="000000"/>
                <w:sz w:val="20"/>
                <w:szCs w:val="20"/>
              </w:rPr>
              <w:t xml:space="preserve">The RFP sections reference "website/web portal". Could you provide clarification on what needs to </w:t>
            </w:r>
            <w:r w:rsidRPr="00564223">
              <w:rPr>
                <w:color w:val="000000"/>
                <w:sz w:val="20"/>
                <w:szCs w:val="20"/>
              </w:rPr>
              <w:lastRenderedPageBreak/>
              <w:t>be reported on?  For example, the public facing website and/or MyChart.</w:t>
            </w:r>
          </w:p>
        </w:tc>
        <w:tc>
          <w:tcPr>
            <w:tcW w:w="3214" w:type="dxa"/>
            <w:shd w:val="clear" w:color="auto" w:fill="E7E6E6" w:themeFill="background2"/>
          </w:tcPr>
          <w:p w14:paraId="7030AE0C" w14:textId="77777777" w:rsidR="00564223" w:rsidRPr="00564223" w:rsidRDefault="00564223" w:rsidP="0097193C">
            <w:pPr>
              <w:rPr>
                <w:sz w:val="20"/>
                <w:szCs w:val="20"/>
              </w:rPr>
            </w:pPr>
            <w:r w:rsidRPr="00564223">
              <w:rPr>
                <w:sz w:val="20"/>
                <w:szCs w:val="20"/>
              </w:rPr>
              <w:lastRenderedPageBreak/>
              <w:t xml:space="preserve">The RFP sections listed in the question reference the Proposer’s dedicated website </w:t>
            </w:r>
            <w:r w:rsidRPr="00564223">
              <w:rPr>
                <w:sz w:val="20"/>
                <w:szCs w:val="20"/>
              </w:rPr>
              <w:lastRenderedPageBreak/>
              <w:t xml:space="preserve">and web-portal that the Proposer will host for Participants. See RFP State of Wisconsin Group Health Insurance Program -Medicare Advantage and Medicare Plus Program Agreement, Section </w:t>
            </w:r>
            <w:proofErr w:type="spellStart"/>
            <w:r w:rsidRPr="00564223">
              <w:rPr>
                <w:sz w:val="20"/>
                <w:szCs w:val="20"/>
              </w:rPr>
              <w:t>III.E.3</w:t>
            </w:r>
            <w:proofErr w:type="spellEnd"/>
            <w:r w:rsidRPr="00564223">
              <w:rPr>
                <w:sz w:val="20"/>
                <w:szCs w:val="20"/>
              </w:rPr>
              <w:t xml:space="preserve">. CONTRACTOR Web Content and Web-Portal. </w:t>
            </w:r>
          </w:p>
        </w:tc>
      </w:tr>
      <w:bookmarkEnd w:id="7"/>
      <w:tr w:rsidR="00564223" w:rsidRPr="00E05361" w14:paraId="2C77CC82" w14:textId="77777777" w:rsidTr="0097193C">
        <w:tc>
          <w:tcPr>
            <w:tcW w:w="602" w:type="dxa"/>
            <w:shd w:val="clear" w:color="auto" w:fill="D5DCE4" w:themeFill="text2" w:themeFillTint="33"/>
          </w:tcPr>
          <w:p w14:paraId="75EA1490" w14:textId="77777777" w:rsidR="00564223" w:rsidRPr="00564223" w:rsidRDefault="00564223" w:rsidP="0097193C">
            <w:pPr>
              <w:jc w:val="both"/>
              <w:rPr>
                <w:sz w:val="20"/>
                <w:szCs w:val="20"/>
              </w:rPr>
            </w:pPr>
            <w:proofErr w:type="spellStart"/>
            <w:r w:rsidRPr="00564223">
              <w:rPr>
                <w:sz w:val="20"/>
                <w:szCs w:val="20"/>
              </w:rPr>
              <w:lastRenderedPageBreak/>
              <w:t>Q46</w:t>
            </w:r>
            <w:proofErr w:type="spellEnd"/>
          </w:p>
        </w:tc>
        <w:tc>
          <w:tcPr>
            <w:tcW w:w="1673" w:type="dxa"/>
            <w:shd w:val="clear" w:color="auto" w:fill="D5DCE4" w:themeFill="text2" w:themeFillTint="33"/>
          </w:tcPr>
          <w:p w14:paraId="3023D033" w14:textId="77777777" w:rsidR="00564223" w:rsidRPr="00564223" w:rsidRDefault="00564223" w:rsidP="0097193C">
            <w:pPr>
              <w:rPr>
                <w:sz w:val="20"/>
                <w:szCs w:val="20"/>
              </w:rPr>
            </w:pPr>
            <w:r w:rsidRPr="00564223">
              <w:rPr>
                <w:color w:val="000000"/>
                <w:sz w:val="20"/>
                <w:szCs w:val="20"/>
              </w:rPr>
              <w:t>RFP 6.1.6</w:t>
            </w:r>
          </w:p>
        </w:tc>
        <w:tc>
          <w:tcPr>
            <w:tcW w:w="1095" w:type="dxa"/>
            <w:shd w:val="clear" w:color="auto" w:fill="D5DCE4" w:themeFill="text2" w:themeFillTint="33"/>
          </w:tcPr>
          <w:p w14:paraId="68F6FFFA" w14:textId="77777777" w:rsidR="00564223" w:rsidRPr="00564223" w:rsidRDefault="00564223" w:rsidP="0097193C">
            <w:pPr>
              <w:rPr>
                <w:sz w:val="20"/>
                <w:szCs w:val="20"/>
              </w:rPr>
            </w:pPr>
            <w:r w:rsidRPr="00564223">
              <w:rPr>
                <w:color w:val="000000"/>
                <w:sz w:val="20"/>
                <w:szCs w:val="20"/>
              </w:rPr>
              <w:t>38</w:t>
            </w:r>
          </w:p>
        </w:tc>
        <w:tc>
          <w:tcPr>
            <w:tcW w:w="3676" w:type="dxa"/>
            <w:shd w:val="clear" w:color="auto" w:fill="D5DCE4" w:themeFill="text2" w:themeFillTint="33"/>
          </w:tcPr>
          <w:p w14:paraId="66C716A6" w14:textId="77777777" w:rsidR="00564223" w:rsidRPr="00564223" w:rsidRDefault="00564223" w:rsidP="0097193C">
            <w:pPr>
              <w:rPr>
                <w:b/>
                <w:bCs/>
                <w:sz w:val="20"/>
                <w:szCs w:val="20"/>
              </w:rPr>
            </w:pPr>
            <w:r w:rsidRPr="00564223">
              <w:rPr>
                <w:color w:val="000000"/>
                <w:sz w:val="20"/>
                <w:szCs w:val="20"/>
              </w:rPr>
              <w:t>a. Are vendors limited to these ratings?  b. May vendors include history of NCQA ratings and accreditation?</w:t>
            </w:r>
          </w:p>
        </w:tc>
        <w:tc>
          <w:tcPr>
            <w:tcW w:w="3214" w:type="dxa"/>
            <w:shd w:val="clear" w:color="auto" w:fill="D5DCE4" w:themeFill="text2" w:themeFillTint="33"/>
          </w:tcPr>
          <w:p w14:paraId="7EBCCFAB" w14:textId="77777777" w:rsidR="00564223" w:rsidRPr="00564223" w:rsidRDefault="00564223" w:rsidP="0097193C">
            <w:pPr>
              <w:rPr>
                <w:sz w:val="20"/>
                <w:szCs w:val="20"/>
              </w:rPr>
            </w:pPr>
            <w:r w:rsidRPr="00564223">
              <w:rPr>
                <w:sz w:val="20"/>
                <w:szCs w:val="20"/>
              </w:rPr>
              <w:t>Yes, vendors may, and are encouraged to, include their NCQA ratings.</w:t>
            </w:r>
          </w:p>
        </w:tc>
      </w:tr>
      <w:tr w:rsidR="00564223" w:rsidRPr="00E05361" w14:paraId="0CF8CD4D" w14:textId="77777777" w:rsidTr="0097193C">
        <w:tc>
          <w:tcPr>
            <w:tcW w:w="602" w:type="dxa"/>
            <w:shd w:val="clear" w:color="auto" w:fill="E7E6E6" w:themeFill="background2"/>
          </w:tcPr>
          <w:p w14:paraId="0AED5499" w14:textId="77777777" w:rsidR="00564223" w:rsidRPr="00564223" w:rsidRDefault="00564223" w:rsidP="0097193C">
            <w:pPr>
              <w:jc w:val="both"/>
              <w:rPr>
                <w:sz w:val="20"/>
                <w:szCs w:val="20"/>
              </w:rPr>
            </w:pPr>
            <w:proofErr w:type="spellStart"/>
            <w:r w:rsidRPr="00564223">
              <w:rPr>
                <w:sz w:val="20"/>
                <w:szCs w:val="20"/>
              </w:rPr>
              <w:t>Q47</w:t>
            </w:r>
            <w:proofErr w:type="spellEnd"/>
          </w:p>
        </w:tc>
        <w:tc>
          <w:tcPr>
            <w:tcW w:w="1673" w:type="dxa"/>
            <w:shd w:val="clear" w:color="auto" w:fill="E7E6E6" w:themeFill="background2"/>
          </w:tcPr>
          <w:p w14:paraId="4DD31BFE" w14:textId="77777777" w:rsidR="00564223" w:rsidRPr="00564223" w:rsidRDefault="00564223" w:rsidP="0097193C">
            <w:pPr>
              <w:rPr>
                <w:sz w:val="20"/>
                <w:szCs w:val="20"/>
              </w:rPr>
            </w:pPr>
            <w:r w:rsidRPr="00564223">
              <w:rPr>
                <w:color w:val="000000"/>
                <w:sz w:val="20"/>
                <w:szCs w:val="20"/>
              </w:rPr>
              <w:t>RFP 6.3.16</w:t>
            </w:r>
          </w:p>
        </w:tc>
        <w:tc>
          <w:tcPr>
            <w:tcW w:w="1095" w:type="dxa"/>
            <w:shd w:val="clear" w:color="auto" w:fill="E7E6E6" w:themeFill="background2"/>
          </w:tcPr>
          <w:p w14:paraId="36E5B1C5" w14:textId="77777777" w:rsidR="00564223" w:rsidRPr="00564223" w:rsidRDefault="00564223" w:rsidP="0097193C">
            <w:pPr>
              <w:rPr>
                <w:sz w:val="20"/>
                <w:szCs w:val="20"/>
              </w:rPr>
            </w:pPr>
            <w:r w:rsidRPr="00564223">
              <w:rPr>
                <w:color w:val="000000"/>
                <w:sz w:val="20"/>
                <w:szCs w:val="20"/>
              </w:rPr>
              <w:t>41</w:t>
            </w:r>
          </w:p>
        </w:tc>
        <w:tc>
          <w:tcPr>
            <w:tcW w:w="3676" w:type="dxa"/>
            <w:shd w:val="clear" w:color="auto" w:fill="E7E6E6" w:themeFill="background2"/>
            <w:vAlign w:val="bottom"/>
          </w:tcPr>
          <w:p w14:paraId="24E1ABE2" w14:textId="77777777" w:rsidR="00564223" w:rsidRPr="00564223" w:rsidRDefault="00564223" w:rsidP="0097193C">
            <w:pPr>
              <w:rPr>
                <w:b/>
                <w:bCs/>
                <w:sz w:val="20"/>
                <w:szCs w:val="20"/>
              </w:rPr>
            </w:pPr>
            <w:r w:rsidRPr="00564223">
              <w:rPr>
                <w:color w:val="000000"/>
                <w:sz w:val="20"/>
                <w:szCs w:val="20"/>
              </w:rPr>
              <w:t>Please clarify what is meant by mobile application.  We have several apps that serve Medicare our member population such as a primary member app, MyChart, various contracted vendor apps, etc.</w:t>
            </w:r>
          </w:p>
        </w:tc>
        <w:tc>
          <w:tcPr>
            <w:tcW w:w="3214" w:type="dxa"/>
            <w:shd w:val="clear" w:color="auto" w:fill="E7E6E6" w:themeFill="background2"/>
          </w:tcPr>
          <w:p w14:paraId="008BC45D" w14:textId="77777777" w:rsidR="00564223" w:rsidRPr="00564223" w:rsidRDefault="00564223" w:rsidP="0097193C">
            <w:pPr>
              <w:rPr>
                <w:sz w:val="20"/>
                <w:szCs w:val="20"/>
              </w:rPr>
            </w:pPr>
            <w:r w:rsidRPr="00564223">
              <w:rPr>
                <w:sz w:val="20"/>
                <w:szCs w:val="20"/>
              </w:rPr>
              <w:t>Provide information on applications you will make available to Participants. Information on Provider apps is not necessary.</w:t>
            </w:r>
          </w:p>
        </w:tc>
      </w:tr>
      <w:tr w:rsidR="00564223" w:rsidRPr="00E05361" w14:paraId="1ED8A44A" w14:textId="77777777" w:rsidTr="0097193C">
        <w:tc>
          <w:tcPr>
            <w:tcW w:w="602" w:type="dxa"/>
            <w:shd w:val="clear" w:color="auto" w:fill="D5DCE4" w:themeFill="text2" w:themeFillTint="33"/>
          </w:tcPr>
          <w:p w14:paraId="3FE8A837" w14:textId="77777777" w:rsidR="00564223" w:rsidRPr="00564223" w:rsidRDefault="00564223" w:rsidP="0097193C">
            <w:pPr>
              <w:jc w:val="both"/>
              <w:rPr>
                <w:sz w:val="20"/>
                <w:szCs w:val="20"/>
              </w:rPr>
            </w:pPr>
            <w:proofErr w:type="spellStart"/>
            <w:r w:rsidRPr="00564223">
              <w:rPr>
                <w:sz w:val="20"/>
                <w:szCs w:val="20"/>
              </w:rPr>
              <w:t>Q48</w:t>
            </w:r>
            <w:proofErr w:type="spellEnd"/>
          </w:p>
        </w:tc>
        <w:tc>
          <w:tcPr>
            <w:tcW w:w="1673" w:type="dxa"/>
            <w:shd w:val="clear" w:color="auto" w:fill="D5DCE4" w:themeFill="text2" w:themeFillTint="33"/>
          </w:tcPr>
          <w:p w14:paraId="5B8A0F85" w14:textId="77777777" w:rsidR="00564223" w:rsidRPr="00564223" w:rsidRDefault="00564223" w:rsidP="0097193C">
            <w:pPr>
              <w:rPr>
                <w:sz w:val="20"/>
                <w:szCs w:val="20"/>
              </w:rPr>
            </w:pPr>
            <w:r w:rsidRPr="00564223">
              <w:rPr>
                <w:color w:val="000000"/>
                <w:sz w:val="20"/>
                <w:szCs w:val="20"/>
              </w:rPr>
              <w:t>RFP 6.5.3 (Enrollment and Communication)</w:t>
            </w:r>
          </w:p>
        </w:tc>
        <w:tc>
          <w:tcPr>
            <w:tcW w:w="1095" w:type="dxa"/>
            <w:shd w:val="clear" w:color="auto" w:fill="D5DCE4" w:themeFill="text2" w:themeFillTint="33"/>
          </w:tcPr>
          <w:p w14:paraId="5A82590D" w14:textId="77777777" w:rsidR="00564223" w:rsidRPr="00564223" w:rsidRDefault="00564223" w:rsidP="0097193C">
            <w:pPr>
              <w:rPr>
                <w:sz w:val="20"/>
                <w:szCs w:val="20"/>
              </w:rPr>
            </w:pPr>
            <w:r w:rsidRPr="00564223">
              <w:rPr>
                <w:color w:val="000000"/>
                <w:sz w:val="20"/>
                <w:szCs w:val="20"/>
              </w:rPr>
              <w:t>42</w:t>
            </w:r>
          </w:p>
        </w:tc>
        <w:tc>
          <w:tcPr>
            <w:tcW w:w="3676" w:type="dxa"/>
            <w:shd w:val="clear" w:color="auto" w:fill="D5DCE4" w:themeFill="text2" w:themeFillTint="33"/>
          </w:tcPr>
          <w:p w14:paraId="559F2B9A" w14:textId="77777777" w:rsidR="00564223" w:rsidRPr="00564223" w:rsidRDefault="00564223" w:rsidP="0097193C">
            <w:pPr>
              <w:rPr>
                <w:b/>
                <w:bCs/>
                <w:sz w:val="20"/>
                <w:szCs w:val="20"/>
              </w:rPr>
            </w:pPr>
            <w:r w:rsidRPr="00564223">
              <w:rPr>
                <w:color w:val="000000"/>
                <w:sz w:val="20"/>
                <w:szCs w:val="20"/>
              </w:rPr>
              <w:t>Please explain what type of co-branding would be expected by the Department. Would all member materials need to be co-branded with ETF?</w:t>
            </w:r>
          </w:p>
        </w:tc>
        <w:tc>
          <w:tcPr>
            <w:tcW w:w="3214" w:type="dxa"/>
            <w:shd w:val="clear" w:color="auto" w:fill="D5DCE4" w:themeFill="text2" w:themeFillTint="33"/>
          </w:tcPr>
          <w:p w14:paraId="565891A7" w14:textId="77777777" w:rsidR="00564223" w:rsidRPr="00564223" w:rsidRDefault="00564223" w:rsidP="0097193C">
            <w:pPr>
              <w:rPr>
                <w:sz w:val="20"/>
                <w:szCs w:val="20"/>
              </w:rPr>
            </w:pPr>
            <w:r w:rsidRPr="00564223">
              <w:rPr>
                <w:sz w:val="20"/>
                <w:szCs w:val="20"/>
              </w:rPr>
              <w:t xml:space="preserve">During Medicare’s open enrollment period, members may receive many Medicare Advantage mailings and can be confused about which apply to their Benefits under the Health Benefit Program. The Department has found that by including its logo and/or verbiage describing its relationship with the Medicare Advantage Contractor(s), members are more likely to read plan materials. This verbiage may be needed on most materials. </w:t>
            </w:r>
          </w:p>
        </w:tc>
      </w:tr>
      <w:tr w:rsidR="00564223" w:rsidRPr="00E05361" w14:paraId="58B362FD" w14:textId="77777777" w:rsidTr="0097193C">
        <w:tc>
          <w:tcPr>
            <w:tcW w:w="602" w:type="dxa"/>
            <w:shd w:val="clear" w:color="auto" w:fill="E7E6E6" w:themeFill="background2"/>
          </w:tcPr>
          <w:p w14:paraId="78235E95" w14:textId="77777777" w:rsidR="00564223" w:rsidRPr="00564223" w:rsidRDefault="00564223" w:rsidP="0097193C">
            <w:pPr>
              <w:jc w:val="both"/>
              <w:rPr>
                <w:sz w:val="20"/>
                <w:szCs w:val="20"/>
              </w:rPr>
            </w:pPr>
            <w:proofErr w:type="spellStart"/>
            <w:r w:rsidRPr="00564223">
              <w:rPr>
                <w:sz w:val="20"/>
                <w:szCs w:val="20"/>
              </w:rPr>
              <w:t>Q49</w:t>
            </w:r>
            <w:proofErr w:type="spellEnd"/>
          </w:p>
        </w:tc>
        <w:tc>
          <w:tcPr>
            <w:tcW w:w="1673" w:type="dxa"/>
            <w:shd w:val="clear" w:color="auto" w:fill="E7E6E6" w:themeFill="background2"/>
          </w:tcPr>
          <w:p w14:paraId="7FF060B4" w14:textId="77777777" w:rsidR="00564223" w:rsidRPr="00564223" w:rsidRDefault="00564223" w:rsidP="0097193C">
            <w:pPr>
              <w:rPr>
                <w:sz w:val="20"/>
                <w:szCs w:val="20"/>
              </w:rPr>
            </w:pPr>
            <w:r w:rsidRPr="00564223">
              <w:rPr>
                <w:color w:val="000000"/>
                <w:sz w:val="20"/>
                <w:szCs w:val="20"/>
              </w:rPr>
              <w:t>RFP 7.7.7 (Reporting to the Department)</w:t>
            </w:r>
          </w:p>
        </w:tc>
        <w:tc>
          <w:tcPr>
            <w:tcW w:w="1095" w:type="dxa"/>
            <w:shd w:val="clear" w:color="auto" w:fill="E7E6E6" w:themeFill="background2"/>
          </w:tcPr>
          <w:p w14:paraId="43BACCDB" w14:textId="77777777" w:rsidR="00564223" w:rsidRPr="00564223" w:rsidRDefault="00564223" w:rsidP="0097193C">
            <w:pPr>
              <w:rPr>
                <w:sz w:val="20"/>
                <w:szCs w:val="20"/>
              </w:rPr>
            </w:pPr>
            <w:r w:rsidRPr="00564223">
              <w:rPr>
                <w:color w:val="000000"/>
                <w:sz w:val="20"/>
                <w:szCs w:val="20"/>
              </w:rPr>
              <w:t>53-54</w:t>
            </w:r>
          </w:p>
        </w:tc>
        <w:tc>
          <w:tcPr>
            <w:tcW w:w="3676" w:type="dxa"/>
            <w:shd w:val="clear" w:color="auto" w:fill="E7E6E6" w:themeFill="background2"/>
          </w:tcPr>
          <w:p w14:paraId="7051C3F3" w14:textId="77777777" w:rsidR="00564223" w:rsidRPr="00564223" w:rsidRDefault="00564223" w:rsidP="0097193C">
            <w:pPr>
              <w:rPr>
                <w:b/>
                <w:bCs/>
                <w:sz w:val="20"/>
                <w:szCs w:val="20"/>
              </w:rPr>
            </w:pPr>
            <w:r w:rsidRPr="00564223">
              <w:rPr>
                <w:color w:val="000000"/>
                <w:sz w:val="20"/>
                <w:szCs w:val="20"/>
              </w:rPr>
              <w:t>Please clarify that the expectation would be for vendors to notify ETF every time a case is sent to IRE and for every decision received back.</w:t>
            </w:r>
          </w:p>
        </w:tc>
        <w:tc>
          <w:tcPr>
            <w:tcW w:w="3214" w:type="dxa"/>
            <w:shd w:val="clear" w:color="auto" w:fill="E7E6E6" w:themeFill="background2"/>
          </w:tcPr>
          <w:p w14:paraId="0BD72BAE" w14:textId="77777777" w:rsidR="00564223" w:rsidRPr="00564223" w:rsidRDefault="00564223" w:rsidP="0097193C">
            <w:pPr>
              <w:rPr>
                <w:sz w:val="20"/>
                <w:szCs w:val="20"/>
              </w:rPr>
            </w:pPr>
            <w:r w:rsidRPr="00564223">
              <w:rPr>
                <w:sz w:val="20"/>
                <w:szCs w:val="20"/>
              </w:rPr>
              <w:t xml:space="preserve">Section </w:t>
            </w:r>
            <w:proofErr w:type="spellStart"/>
            <w:r w:rsidRPr="00564223">
              <w:rPr>
                <w:sz w:val="20"/>
                <w:szCs w:val="20"/>
              </w:rPr>
              <w:t>III.I.6</w:t>
            </w:r>
            <w:proofErr w:type="spellEnd"/>
            <w:r w:rsidRPr="00564223">
              <w:rPr>
                <w:sz w:val="20"/>
                <w:szCs w:val="20"/>
              </w:rPr>
              <w:t xml:space="preserve"> of the Program Agreement requires Contractors to notify the Department in specified time frames of requests for external reviews and their outcome. Medicare Advantage Contractor(s) must follow CMS rules. To meet </w:t>
            </w:r>
            <w:proofErr w:type="spellStart"/>
            <w:r w:rsidRPr="00564223">
              <w:rPr>
                <w:sz w:val="20"/>
                <w:szCs w:val="20"/>
              </w:rPr>
              <w:t>III.I.6</w:t>
            </w:r>
            <w:proofErr w:type="spellEnd"/>
            <w:r w:rsidRPr="00564223">
              <w:rPr>
                <w:sz w:val="20"/>
                <w:szCs w:val="20"/>
              </w:rPr>
              <w:t xml:space="preserve">., Contractor(s) should notify the Department of appeals that go to independent review (level 2), Administrative Law Judge (level 3), Medicare Appeals Council </w:t>
            </w:r>
            <w:r w:rsidRPr="00564223">
              <w:rPr>
                <w:sz w:val="20"/>
                <w:szCs w:val="20"/>
              </w:rPr>
              <w:lastRenderedPageBreak/>
              <w:t xml:space="preserve">(level 4) and federal district court (level 5). </w:t>
            </w:r>
          </w:p>
        </w:tc>
      </w:tr>
      <w:tr w:rsidR="00564223" w:rsidRPr="00E05361" w14:paraId="60C84113" w14:textId="77777777" w:rsidTr="0097193C">
        <w:tc>
          <w:tcPr>
            <w:tcW w:w="602" w:type="dxa"/>
            <w:shd w:val="clear" w:color="auto" w:fill="D5DCE4" w:themeFill="text2" w:themeFillTint="33"/>
          </w:tcPr>
          <w:p w14:paraId="74E96743" w14:textId="77777777" w:rsidR="00564223" w:rsidRPr="00564223" w:rsidRDefault="00564223" w:rsidP="0097193C">
            <w:pPr>
              <w:jc w:val="both"/>
              <w:rPr>
                <w:sz w:val="20"/>
                <w:szCs w:val="20"/>
              </w:rPr>
            </w:pPr>
            <w:proofErr w:type="spellStart"/>
            <w:r w:rsidRPr="00564223">
              <w:rPr>
                <w:sz w:val="20"/>
                <w:szCs w:val="20"/>
              </w:rPr>
              <w:lastRenderedPageBreak/>
              <w:t>Q50</w:t>
            </w:r>
            <w:proofErr w:type="spellEnd"/>
          </w:p>
        </w:tc>
        <w:tc>
          <w:tcPr>
            <w:tcW w:w="1673" w:type="dxa"/>
            <w:shd w:val="clear" w:color="auto" w:fill="D5DCE4" w:themeFill="text2" w:themeFillTint="33"/>
          </w:tcPr>
          <w:p w14:paraId="392B7000" w14:textId="77777777" w:rsidR="00564223" w:rsidRPr="00564223" w:rsidRDefault="00564223" w:rsidP="0097193C">
            <w:pPr>
              <w:rPr>
                <w:sz w:val="20"/>
                <w:szCs w:val="20"/>
              </w:rPr>
            </w:pPr>
            <w:r w:rsidRPr="00564223">
              <w:rPr>
                <w:color w:val="000000"/>
                <w:sz w:val="20"/>
                <w:szCs w:val="20"/>
              </w:rPr>
              <w:t>RFP 7.9.10 and 7.9.11 (</w:t>
            </w:r>
            <w:r w:rsidRPr="00564223">
              <w:rPr>
                <w:sz w:val="20"/>
                <w:szCs w:val="20"/>
              </w:rPr>
              <w:t>ETD0050 Medicare Advantage Plan Experience)</w:t>
            </w:r>
          </w:p>
        </w:tc>
        <w:tc>
          <w:tcPr>
            <w:tcW w:w="1095" w:type="dxa"/>
            <w:shd w:val="clear" w:color="auto" w:fill="D5DCE4" w:themeFill="text2" w:themeFillTint="33"/>
          </w:tcPr>
          <w:p w14:paraId="527470D0" w14:textId="77777777" w:rsidR="00564223" w:rsidRPr="00564223" w:rsidRDefault="00564223" w:rsidP="0097193C">
            <w:pPr>
              <w:rPr>
                <w:sz w:val="20"/>
                <w:szCs w:val="20"/>
              </w:rPr>
            </w:pPr>
            <w:r w:rsidRPr="00564223">
              <w:rPr>
                <w:color w:val="000000"/>
                <w:sz w:val="20"/>
                <w:szCs w:val="20"/>
              </w:rPr>
              <w:t>58</w:t>
            </w:r>
          </w:p>
        </w:tc>
        <w:tc>
          <w:tcPr>
            <w:tcW w:w="3676" w:type="dxa"/>
            <w:shd w:val="clear" w:color="auto" w:fill="D5DCE4" w:themeFill="text2" w:themeFillTint="33"/>
            <w:vAlign w:val="bottom"/>
          </w:tcPr>
          <w:p w14:paraId="5818B9F9" w14:textId="77777777" w:rsidR="00564223" w:rsidRPr="00564223" w:rsidRDefault="00564223" w:rsidP="0097193C">
            <w:pPr>
              <w:rPr>
                <w:b/>
                <w:bCs/>
                <w:sz w:val="20"/>
                <w:szCs w:val="20"/>
              </w:rPr>
            </w:pPr>
            <w:r w:rsidRPr="00564223">
              <w:rPr>
                <w:color w:val="000000"/>
                <w:sz w:val="20"/>
                <w:szCs w:val="20"/>
              </w:rPr>
              <w:t>Sections 7.9.10 and 7.9.11 ask vendors to confirm appeals and grievances will be handled in accordance with CMS requirements and guidelines, however, in Exhibit 1 - 2025 Program Agreement with Medicare Provisions has deviations from CMS requirements. For example, Medicare Advantage appeals have multiple levels of appeal including IRE, Administrative Law Judge (ALJ) and Medicare Advisory Committee (MAC).  Would the expectation be that ETF would be included as a step in the appeal process?</w:t>
            </w:r>
          </w:p>
        </w:tc>
        <w:tc>
          <w:tcPr>
            <w:tcW w:w="3214" w:type="dxa"/>
            <w:shd w:val="clear" w:color="auto" w:fill="D5DCE4" w:themeFill="text2" w:themeFillTint="33"/>
          </w:tcPr>
          <w:p w14:paraId="47A35A33" w14:textId="77777777" w:rsidR="00564223" w:rsidRPr="00564223" w:rsidRDefault="00564223" w:rsidP="0097193C">
            <w:pPr>
              <w:rPr>
                <w:sz w:val="20"/>
                <w:szCs w:val="20"/>
              </w:rPr>
            </w:pPr>
            <w:r w:rsidRPr="00564223">
              <w:rPr>
                <w:sz w:val="20"/>
                <w:szCs w:val="20"/>
              </w:rPr>
              <w:t>No, except Contractor(s) should notify the Department of appeals that go to independent review (level 2), Administrative Law Judge (level 3), Medicare Appeals Council (level 4) and federal district court (level 5).</w:t>
            </w:r>
          </w:p>
        </w:tc>
      </w:tr>
      <w:tr w:rsidR="00564223" w:rsidRPr="00E05361" w14:paraId="069583E0" w14:textId="77777777" w:rsidTr="0097193C">
        <w:tc>
          <w:tcPr>
            <w:tcW w:w="602" w:type="dxa"/>
            <w:shd w:val="clear" w:color="auto" w:fill="E7E6E6" w:themeFill="background2"/>
          </w:tcPr>
          <w:p w14:paraId="7D755AFA" w14:textId="77777777" w:rsidR="00564223" w:rsidRPr="00564223" w:rsidRDefault="00564223" w:rsidP="0097193C">
            <w:pPr>
              <w:jc w:val="both"/>
              <w:rPr>
                <w:sz w:val="20"/>
                <w:szCs w:val="20"/>
              </w:rPr>
            </w:pPr>
            <w:proofErr w:type="spellStart"/>
            <w:r w:rsidRPr="00564223">
              <w:rPr>
                <w:sz w:val="20"/>
                <w:szCs w:val="20"/>
              </w:rPr>
              <w:t>Q51</w:t>
            </w:r>
            <w:proofErr w:type="spellEnd"/>
          </w:p>
        </w:tc>
        <w:tc>
          <w:tcPr>
            <w:tcW w:w="1673" w:type="dxa"/>
            <w:shd w:val="clear" w:color="auto" w:fill="E7E6E6" w:themeFill="background2"/>
          </w:tcPr>
          <w:p w14:paraId="1A302A4D" w14:textId="77777777" w:rsidR="00564223" w:rsidRPr="00564223" w:rsidRDefault="00564223" w:rsidP="0097193C">
            <w:pPr>
              <w:rPr>
                <w:sz w:val="20"/>
                <w:szCs w:val="20"/>
              </w:rPr>
            </w:pPr>
            <w:r w:rsidRPr="00564223">
              <w:rPr>
                <w:color w:val="000000"/>
                <w:sz w:val="20"/>
                <w:szCs w:val="20"/>
              </w:rPr>
              <w:t>RFP 7.9.10 and 7.9.11 (</w:t>
            </w:r>
            <w:r w:rsidRPr="00564223">
              <w:rPr>
                <w:sz w:val="20"/>
                <w:szCs w:val="20"/>
              </w:rPr>
              <w:t>ETD0050 Medicare Advantage Plan Experience)</w:t>
            </w:r>
          </w:p>
        </w:tc>
        <w:tc>
          <w:tcPr>
            <w:tcW w:w="1095" w:type="dxa"/>
            <w:shd w:val="clear" w:color="auto" w:fill="E7E6E6" w:themeFill="background2"/>
          </w:tcPr>
          <w:p w14:paraId="44D37AA7" w14:textId="77777777" w:rsidR="00564223" w:rsidRPr="00564223" w:rsidRDefault="00564223" w:rsidP="0097193C">
            <w:pPr>
              <w:rPr>
                <w:sz w:val="20"/>
                <w:szCs w:val="20"/>
              </w:rPr>
            </w:pPr>
            <w:r w:rsidRPr="00564223">
              <w:rPr>
                <w:color w:val="000000"/>
                <w:sz w:val="20"/>
                <w:szCs w:val="20"/>
              </w:rPr>
              <w:t>58</w:t>
            </w:r>
          </w:p>
        </w:tc>
        <w:tc>
          <w:tcPr>
            <w:tcW w:w="3676" w:type="dxa"/>
            <w:shd w:val="clear" w:color="auto" w:fill="E7E6E6" w:themeFill="background2"/>
            <w:vAlign w:val="bottom"/>
          </w:tcPr>
          <w:p w14:paraId="001538BB" w14:textId="77777777" w:rsidR="00564223" w:rsidRPr="00564223" w:rsidRDefault="00564223" w:rsidP="0097193C">
            <w:pPr>
              <w:rPr>
                <w:b/>
                <w:bCs/>
                <w:sz w:val="20"/>
                <w:szCs w:val="20"/>
              </w:rPr>
            </w:pPr>
            <w:r w:rsidRPr="00564223">
              <w:rPr>
                <w:color w:val="000000"/>
                <w:sz w:val="20"/>
                <w:szCs w:val="20"/>
              </w:rPr>
              <w:t xml:space="preserve">Section 7.9.10 and 7.9.11 ask vendors to confirm appeals and grievances will be handled in accordance with CMS requirements and guidelines, however, in Exhibit 1 - 2025 Program Agreement with Medicare Provisions has deviations from CMS requirements.  For example, Section </w:t>
            </w:r>
            <w:proofErr w:type="spellStart"/>
            <w:r w:rsidRPr="00564223">
              <w:rPr>
                <w:color w:val="000000"/>
                <w:sz w:val="20"/>
                <w:szCs w:val="20"/>
              </w:rPr>
              <w:t>III.I.5</w:t>
            </w:r>
            <w:proofErr w:type="spellEnd"/>
            <w:r w:rsidRPr="00564223">
              <w:rPr>
                <w:color w:val="000000"/>
                <w:sz w:val="20"/>
                <w:szCs w:val="20"/>
              </w:rPr>
              <w:t xml:space="preserve"> of the Program Agreement reference's a grievance committee's determination but Medicare Advantage appeals are not reviewed by a grievance committee rather a Medical Director. Is ETF's expectation that the appeals are reviewed by a Grievance Committee?</w:t>
            </w:r>
          </w:p>
        </w:tc>
        <w:tc>
          <w:tcPr>
            <w:tcW w:w="3214" w:type="dxa"/>
            <w:shd w:val="clear" w:color="auto" w:fill="E7E6E6" w:themeFill="background2"/>
          </w:tcPr>
          <w:p w14:paraId="492E0C2A" w14:textId="77777777" w:rsidR="00564223" w:rsidRPr="00564223" w:rsidRDefault="00564223" w:rsidP="0097193C">
            <w:pPr>
              <w:rPr>
                <w:sz w:val="20"/>
                <w:szCs w:val="20"/>
              </w:rPr>
            </w:pPr>
            <w:r w:rsidRPr="00564223">
              <w:rPr>
                <w:sz w:val="20"/>
                <w:szCs w:val="20"/>
              </w:rPr>
              <w:t xml:space="preserve">No, the Department’s expectation is that Contractors follow CMS’ rules. </w:t>
            </w:r>
          </w:p>
        </w:tc>
      </w:tr>
      <w:tr w:rsidR="00564223" w:rsidRPr="00E05361" w14:paraId="0A014A74" w14:textId="77777777" w:rsidTr="0097193C">
        <w:tc>
          <w:tcPr>
            <w:tcW w:w="602" w:type="dxa"/>
            <w:shd w:val="clear" w:color="auto" w:fill="D5DCE4" w:themeFill="text2" w:themeFillTint="33"/>
          </w:tcPr>
          <w:p w14:paraId="30F0D69B" w14:textId="77777777" w:rsidR="00564223" w:rsidRPr="00564223" w:rsidRDefault="00564223" w:rsidP="0097193C">
            <w:pPr>
              <w:jc w:val="both"/>
              <w:rPr>
                <w:sz w:val="20"/>
                <w:szCs w:val="20"/>
              </w:rPr>
            </w:pPr>
            <w:proofErr w:type="spellStart"/>
            <w:r w:rsidRPr="00564223">
              <w:rPr>
                <w:sz w:val="20"/>
                <w:szCs w:val="20"/>
              </w:rPr>
              <w:t>Q52</w:t>
            </w:r>
            <w:proofErr w:type="spellEnd"/>
          </w:p>
        </w:tc>
        <w:tc>
          <w:tcPr>
            <w:tcW w:w="1673" w:type="dxa"/>
            <w:shd w:val="clear" w:color="auto" w:fill="D5DCE4" w:themeFill="text2" w:themeFillTint="33"/>
          </w:tcPr>
          <w:p w14:paraId="2265D4EC" w14:textId="77777777" w:rsidR="00564223" w:rsidRPr="00564223" w:rsidRDefault="00564223" w:rsidP="0097193C">
            <w:pPr>
              <w:rPr>
                <w:sz w:val="20"/>
                <w:szCs w:val="20"/>
              </w:rPr>
            </w:pPr>
            <w:r w:rsidRPr="00564223">
              <w:rPr>
                <w:color w:val="000000"/>
                <w:sz w:val="20"/>
                <w:szCs w:val="20"/>
              </w:rPr>
              <w:t>RFP 7.9.10 and 7.9.11 (</w:t>
            </w:r>
            <w:r w:rsidRPr="00564223">
              <w:rPr>
                <w:sz w:val="20"/>
                <w:szCs w:val="20"/>
              </w:rPr>
              <w:t>ETD0050 Medicare Advantage Plan Experience)</w:t>
            </w:r>
          </w:p>
        </w:tc>
        <w:tc>
          <w:tcPr>
            <w:tcW w:w="1095" w:type="dxa"/>
            <w:shd w:val="clear" w:color="auto" w:fill="D5DCE4" w:themeFill="text2" w:themeFillTint="33"/>
          </w:tcPr>
          <w:p w14:paraId="37A628B1" w14:textId="77777777" w:rsidR="00564223" w:rsidRPr="00564223" w:rsidRDefault="00564223" w:rsidP="0097193C">
            <w:pPr>
              <w:rPr>
                <w:sz w:val="20"/>
                <w:szCs w:val="20"/>
              </w:rPr>
            </w:pPr>
            <w:r w:rsidRPr="00564223">
              <w:rPr>
                <w:color w:val="000000"/>
                <w:sz w:val="20"/>
                <w:szCs w:val="20"/>
              </w:rPr>
              <w:t>58</w:t>
            </w:r>
          </w:p>
        </w:tc>
        <w:tc>
          <w:tcPr>
            <w:tcW w:w="3676" w:type="dxa"/>
            <w:shd w:val="clear" w:color="auto" w:fill="D5DCE4" w:themeFill="text2" w:themeFillTint="33"/>
            <w:vAlign w:val="bottom"/>
          </w:tcPr>
          <w:p w14:paraId="7C73E8A9" w14:textId="77777777" w:rsidR="00564223" w:rsidRPr="00564223" w:rsidRDefault="00564223" w:rsidP="0097193C">
            <w:pPr>
              <w:rPr>
                <w:b/>
                <w:bCs/>
                <w:sz w:val="20"/>
                <w:szCs w:val="20"/>
              </w:rPr>
            </w:pPr>
            <w:r w:rsidRPr="00564223">
              <w:rPr>
                <w:color w:val="000000"/>
                <w:sz w:val="20"/>
                <w:szCs w:val="20"/>
              </w:rPr>
              <w:t xml:space="preserve">Section 7.9.10 and 7.9.11 ask vendors to confirm appeals and grievances will be handled in accordance with CMS requirements and guidelines, however, in Exhibit 1 - 2025 Program Agreement with Medicare Provisions has deviations from CMS requirements.  For example, Section </w:t>
            </w:r>
            <w:proofErr w:type="spellStart"/>
            <w:r w:rsidRPr="00564223">
              <w:rPr>
                <w:color w:val="000000"/>
                <w:sz w:val="20"/>
                <w:szCs w:val="20"/>
              </w:rPr>
              <w:t>IV.D.19</w:t>
            </w:r>
            <w:proofErr w:type="spellEnd"/>
            <w:r w:rsidRPr="00564223">
              <w:rPr>
                <w:color w:val="000000"/>
                <w:sz w:val="20"/>
                <w:szCs w:val="20"/>
              </w:rPr>
              <w:t xml:space="preserve">. of the Program Agreement indicates that vendor must allow 90 days to accept an appeal while CMS requirements state that enrollees have 60 days to file an appeal.  Please provide clarity on what deviations from CMS rules vendors would need to </w:t>
            </w:r>
            <w:r w:rsidRPr="00564223">
              <w:rPr>
                <w:color w:val="000000"/>
                <w:sz w:val="20"/>
                <w:szCs w:val="20"/>
              </w:rPr>
              <w:lastRenderedPageBreak/>
              <w:t>follow in regard to the grievance and appeals rules.</w:t>
            </w:r>
          </w:p>
        </w:tc>
        <w:tc>
          <w:tcPr>
            <w:tcW w:w="3214" w:type="dxa"/>
            <w:shd w:val="clear" w:color="auto" w:fill="D5DCE4" w:themeFill="text2" w:themeFillTint="33"/>
          </w:tcPr>
          <w:p w14:paraId="05B19DD9" w14:textId="77777777" w:rsidR="00564223" w:rsidRPr="00564223" w:rsidRDefault="00564223" w:rsidP="0097193C">
            <w:pPr>
              <w:rPr>
                <w:sz w:val="20"/>
                <w:szCs w:val="20"/>
              </w:rPr>
            </w:pPr>
            <w:r w:rsidRPr="00564223">
              <w:rPr>
                <w:sz w:val="20"/>
                <w:szCs w:val="20"/>
              </w:rPr>
              <w:lastRenderedPageBreak/>
              <w:t xml:space="preserve">The Department’s expectation is that Contractors follow CMS’ rules, for example, CMS’ 60-day requirement rather than the Department’s 90-day requirement. To meet Section </w:t>
            </w:r>
            <w:proofErr w:type="spellStart"/>
            <w:r w:rsidRPr="00564223">
              <w:rPr>
                <w:sz w:val="20"/>
                <w:szCs w:val="20"/>
              </w:rPr>
              <w:t>III.I.6</w:t>
            </w:r>
            <w:proofErr w:type="spellEnd"/>
            <w:r w:rsidRPr="00564223">
              <w:rPr>
                <w:sz w:val="20"/>
                <w:szCs w:val="20"/>
              </w:rPr>
              <w:t>, of the Program Agreement, Contractors should notify the Department of appeals that go to independent review (level 2), Administrative Law Judge (level 3), Medicare Appeals Council (level 4) and federal district court (level 5).</w:t>
            </w:r>
          </w:p>
        </w:tc>
      </w:tr>
      <w:tr w:rsidR="00564223" w14:paraId="2D177A27" w14:textId="77777777" w:rsidTr="0097193C">
        <w:tc>
          <w:tcPr>
            <w:tcW w:w="602" w:type="dxa"/>
            <w:tcBorders>
              <w:top w:val="single" w:sz="4" w:space="0" w:color="auto"/>
              <w:left w:val="single" w:sz="4" w:space="0" w:color="auto"/>
              <w:bottom w:val="single" w:sz="4" w:space="0" w:color="auto"/>
              <w:right w:val="single" w:sz="4" w:space="0" w:color="auto"/>
            </w:tcBorders>
            <w:shd w:val="clear" w:color="auto" w:fill="E7E6E6" w:themeFill="background2"/>
          </w:tcPr>
          <w:p w14:paraId="6E91F597" w14:textId="77777777" w:rsidR="00564223" w:rsidRPr="00564223" w:rsidRDefault="00564223" w:rsidP="0097193C">
            <w:pPr>
              <w:jc w:val="both"/>
              <w:rPr>
                <w:sz w:val="20"/>
                <w:szCs w:val="20"/>
              </w:rPr>
            </w:pPr>
            <w:proofErr w:type="spellStart"/>
            <w:r w:rsidRPr="00564223">
              <w:rPr>
                <w:sz w:val="20"/>
                <w:szCs w:val="20"/>
              </w:rPr>
              <w:t>Q53</w:t>
            </w:r>
            <w:proofErr w:type="spellEnd"/>
          </w:p>
        </w:tc>
        <w:tc>
          <w:tcPr>
            <w:tcW w:w="1673" w:type="dxa"/>
            <w:tcBorders>
              <w:top w:val="single" w:sz="4" w:space="0" w:color="auto"/>
              <w:left w:val="single" w:sz="4" w:space="0" w:color="auto"/>
              <w:bottom w:val="single" w:sz="4" w:space="0" w:color="auto"/>
              <w:right w:val="single" w:sz="4" w:space="0" w:color="auto"/>
            </w:tcBorders>
            <w:shd w:val="clear" w:color="auto" w:fill="E7E6E6" w:themeFill="background2"/>
          </w:tcPr>
          <w:p w14:paraId="70879D8F" w14:textId="77777777" w:rsidR="00564223" w:rsidRPr="00564223" w:rsidRDefault="00564223" w:rsidP="0097193C">
            <w:pPr>
              <w:rPr>
                <w:color w:val="000000"/>
                <w:sz w:val="20"/>
                <w:szCs w:val="20"/>
              </w:rPr>
            </w:pPr>
            <w:r w:rsidRPr="00564223">
              <w:rPr>
                <w:color w:val="000000"/>
                <w:sz w:val="20"/>
                <w:szCs w:val="20"/>
              </w:rPr>
              <w:t xml:space="preserve"> </w:t>
            </w:r>
          </w:p>
        </w:tc>
        <w:tc>
          <w:tcPr>
            <w:tcW w:w="1095" w:type="dxa"/>
            <w:tcBorders>
              <w:top w:val="single" w:sz="4" w:space="0" w:color="auto"/>
              <w:left w:val="single" w:sz="4" w:space="0" w:color="auto"/>
              <w:bottom w:val="single" w:sz="4" w:space="0" w:color="auto"/>
              <w:right w:val="single" w:sz="4" w:space="0" w:color="auto"/>
            </w:tcBorders>
            <w:shd w:val="clear" w:color="auto" w:fill="E7E6E6" w:themeFill="background2"/>
          </w:tcPr>
          <w:p w14:paraId="1DB472F5" w14:textId="77777777" w:rsidR="00564223" w:rsidRPr="00564223" w:rsidRDefault="00564223" w:rsidP="0097193C">
            <w:pPr>
              <w:rPr>
                <w:color w:val="000000"/>
                <w:sz w:val="20"/>
                <w:szCs w:val="20"/>
              </w:rPr>
            </w:pPr>
          </w:p>
        </w:tc>
        <w:tc>
          <w:tcPr>
            <w:tcW w:w="3676"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2EAAEC29" w14:textId="77777777" w:rsidR="00564223" w:rsidRPr="00564223" w:rsidRDefault="00564223" w:rsidP="0097193C">
            <w:pPr>
              <w:rPr>
                <w:color w:val="000000"/>
                <w:sz w:val="20"/>
                <w:szCs w:val="20"/>
              </w:rPr>
            </w:pPr>
            <w:r w:rsidRPr="00564223">
              <w:rPr>
                <w:color w:val="000000"/>
                <w:sz w:val="20"/>
                <w:szCs w:val="20"/>
              </w:rPr>
              <w:t>WI ETF Medicare Advantage Network Access Workbook seems to be aligned to RFP Section 8.1 Network Access Tool, which only applies to IYC Medicare Advantage HMO proposals. Can you confirm this workbook is part of the Network Access Tool referenced in this section and should not be completed if a vendor is proposing a nationwide PPO?</w:t>
            </w:r>
          </w:p>
        </w:tc>
        <w:tc>
          <w:tcPr>
            <w:tcW w:w="3214" w:type="dxa"/>
            <w:tcBorders>
              <w:top w:val="single" w:sz="4" w:space="0" w:color="auto"/>
              <w:left w:val="single" w:sz="4" w:space="0" w:color="auto"/>
              <w:bottom w:val="single" w:sz="4" w:space="0" w:color="auto"/>
              <w:right w:val="single" w:sz="4" w:space="0" w:color="auto"/>
            </w:tcBorders>
            <w:shd w:val="clear" w:color="auto" w:fill="E7E6E6" w:themeFill="background2"/>
          </w:tcPr>
          <w:p w14:paraId="6E329B7C" w14:textId="77777777" w:rsidR="00564223" w:rsidRPr="00564223" w:rsidRDefault="00564223" w:rsidP="0097193C">
            <w:pPr>
              <w:rPr>
                <w:sz w:val="20"/>
                <w:szCs w:val="20"/>
              </w:rPr>
            </w:pPr>
            <w:r w:rsidRPr="00564223">
              <w:rPr>
                <w:sz w:val="20"/>
                <w:szCs w:val="20"/>
              </w:rPr>
              <w:t>Confirming the Medicare Advantage Network Access workbook is not to be completed by those vendors proposing a nationwide PPO.</w:t>
            </w:r>
          </w:p>
          <w:p w14:paraId="2683E5E6" w14:textId="77777777" w:rsidR="00564223" w:rsidRPr="00564223" w:rsidRDefault="00564223" w:rsidP="0097193C">
            <w:pPr>
              <w:jc w:val="both"/>
              <w:rPr>
                <w:sz w:val="20"/>
                <w:szCs w:val="20"/>
              </w:rPr>
            </w:pPr>
          </w:p>
        </w:tc>
      </w:tr>
      <w:tr w:rsidR="00564223" w14:paraId="7631FD36" w14:textId="77777777" w:rsidTr="0097193C">
        <w:trPr>
          <w:trHeight w:val="1484"/>
        </w:trPr>
        <w:tc>
          <w:tcPr>
            <w:tcW w:w="60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8B5FC96" w14:textId="77777777" w:rsidR="00564223" w:rsidRPr="00564223" w:rsidRDefault="00564223" w:rsidP="0097193C">
            <w:pPr>
              <w:jc w:val="both"/>
              <w:rPr>
                <w:sz w:val="20"/>
                <w:szCs w:val="20"/>
              </w:rPr>
            </w:pPr>
            <w:proofErr w:type="spellStart"/>
            <w:r w:rsidRPr="00564223">
              <w:rPr>
                <w:sz w:val="20"/>
                <w:szCs w:val="20"/>
              </w:rPr>
              <w:t>Q54</w:t>
            </w:r>
            <w:proofErr w:type="spellEnd"/>
          </w:p>
        </w:tc>
        <w:tc>
          <w:tcPr>
            <w:tcW w:w="167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8A7FF33" w14:textId="77777777" w:rsidR="00564223" w:rsidRPr="00564223" w:rsidRDefault="00564223" w:rsidP="0097193C">
            <w:pPr>
              <w:rPr>
                <w:color w:val="000000"/>
                <w:sz w:val="20"/>
                <w:szCs w:val="20"/>
              </w:rPr>
            </w:pPr>
            <w:r w:rsidRPr="00564223">
              <w:rPr>
                <w:color w:val="000000"/>
                <w:sz w:val="20"/>
                <w:szCs w:val="20"/>
              </w:rPr>
              <w:t xml:space="preserve"> </w:t>
            </w:r>
          </w:p>
        </w:tc>
        <w:tc>
          <w:tcPr>
            <w:tcW w:w="109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F63958" w14:textId="77777777" w:rsidR="00564223" w:rsidRPr="00564223" w:rsidRDefault="00564223" w:rsidP="0097193C">
            <w:pPr>
              <w:rPr>
                <w:color w:val="000000"/>
                <w:sz w:val="20"/>
                <w:szCs w:val="20"/>
              </w:rPr>
            </w:pPr>
          </w:p>
        </w:tc>
        <w:tc>
          <w:tcPr>
            <w:tcW w:w="367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402BB84" w14:textId="77777777" w:rsidR="00564223" w:rsidRPr="00564223" w:rsidRDefault="00564223" w:rsidP="0097193C">
            <w:pPr>
              <w:rPr>
                <w:color w:val="000000"/>
                <w:sz w:val="20"/>
                <w:szCs w:val="20"/>
              </w:rPr>
            </w:pPr>
            <w:r w:rsidRPr="00564223">
              <w:rPr>
                <w:color w:val="000000"/>
                <w:sz w:val="20"/>
                <w:szCs w:val="20"/>
              </w:rPr>
              <w:t>Please provide the suburban and rural classifications on a member level in your census files.</w:t>
            </w:r>
          </w:p>
        </w:tc>
        <w:tc>
          <w:tcPr>
            <w:tcW w:w="32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7E0628F" w14:textId="77777777" w:rsidR="00564223" w:rsidRPr="00564223" w:rsidRDefault="00564223" w:rsidP="0097193C">
            <w:pPr>
              <w:rPr>
                <w:sz w:val="20"/>
                <w:szCs w:val="20"/>
              </w:rPr>
            </w:pPr>
            <w:r w:rsidRPr="00564223">
              <w:rPr>
                <w:sz w:val="20"/>
                <w:szCs w:val="20"/>
              </w:rPr>
              <w:t>A revised census with an added urban/non-urban classification column on a member level was sent to the secure workspace of all vendors who provided a fully executed NDA to the Department.</w:t>
            </w:r>
          </w:p>
        </w:tc>
      </w:tr>
      <w:tr w:rsidR="00564223" w:rsidRPr="005974EF" w14:paraId="4E1657FB" w14:textId="77777777" w:rsidTr="0097193C">
        <w:trPr>
          <w:trHeight w:val="2159"/>
        </w:trPr>
        <w:tc>
          <w:tcPr>
            <w:tcW w:w="60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6CBE4CB" w14:textId="77777777" w:rsidR="00564223" w:rsidRPr="00564223" w:rsidRDefault="00564223" w:rsidP="0097193C">
            <w:pPr>
              <w:jc w:val="both"/>
              <w:rPr>
                <w:sz w:val="20"/>
                <w:szCs w:val="20"/>
              </w:rPr>
            </w:pPr>
            <w:proofErr w:type="spellStart"/>
            <w:r w:rsidRPr="00564223">
              <w:rPr>
                <w:sz w:val="20"/>
                <w:szCs w:val="20"/>
              </w:rPr>
              <w:t>Q55</w:t>
            </w:r>
            <w:proofErr w:type="spellEnd"/>
          </w:p>
        </w:tc>
        <w:tc>
          <w:tcPr>
            <w:tcW w:w="167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7153A68" w14:textId="77777777" w:rsidR="00564223" w:rsidRPr="00564223" w:rsidRDefault="00564223" w:rsidP="0097193C">
            <w:pPr>
              <w:jc w:val="both"/>
              <w:rPr>
                <w:sz w:val="20"/>
                <w:szCs w:val="20"/>
              </w:rPr>
            </w:pPr>
            <w:r w:rsidRPr="00564223">
              <w:rPr>
                <w:sz w:val="20"/>
                <w:szCs w:val="20"/>
              </w:rPr>
              <w:t>GeoAccess Report</w:t>
            </w:r>
          </w:p>
        </w:tc>
        <w:tc>
          <w:tcPr>
            <w:tcW w:w="109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46E6898" w14:textId="77777777" w:rsidR="00564223" w:rsidRPr="00564223" w:rsidRDefault="00564223" w:rsidP="0097193C">
            <w:pPr>
              <w:jc w:val="both"/>
              <w:rPr>
                <w:sz w:val="20"/>
                <w:szCs w:val="20"/>
              </w:rPr>
            </w:pPr>
          </w:p>
        </w:tc>
        <w:tc>
          <w:tcPr>
            <w:tcW w:w="367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AAF6DA1" w14:textId="77777777" w:rsidR="00564223" w:rsidRPr="00564223" w:rsidRDefault="00564223" w:rsidP="0097193C">
            <w:pPr>
              <w:rPr>
                <w:sz w:val="20"/>
                <w:szCs w:val="20"/>
              </w:rPr>
            </w:pPr>
            <w:r w:rsidRPr="00564223">
              <w:rPr>
                <w:sz w:val="20"/>
                <w:szCs w:val="20"/>
              </w:rPr>
              <w:t>Should the 2,467 out-of-state retirees be excluded from the GeoAccess report? If not, please provide the access parameters for the out-of-state retirees</w:t>
            </w:r>
          </w:p>
        </w:tc>
        <w:tc>
          <w:tcPr>
            <w:tcW w:w="32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70D8E3C" w14:textId="77777777" w:rsidR="00564223" w:rsidRPr="00564223" w:rsidRDefault="00564223" w:rsidP="0097193C">
            <w:pPr>
              <w:rPr>
                <w:sz w:val="20"/>
                <w:szCs w:val="20"/>
              </w:rPr>
            </w:pPr>
            <w:r w:rsidRPr="00564223">
              <w:rPr>
                <w:sz w:val="20"/>
                <w:szCs w:val="20"/>
              </w:rPr>
              <w:t>No. Do not exclude any retirees from the GeoAccess report(s).  Please use the access standards provided in RFP Section 8 - Network Submission Requirements. The product for which you are submitting a Proposal will be considered in the evaluation of GeoAccess reports.</w:t>
            </w:r>
          </w:p>
        </w:tc>
      </w:tr>
    </w:tbl>
    <w:p w14:paraId="4A3A1D43" w14:textId="77777777" w:rsidR="00564223" w:rsidRDefault="00564223" w:rsidP="00564223">
      <w:pPr>
        <w:rPr>
          <w:rFonts w:asciiTheme="minorHAnsi" w:hAnsiTheme="minorHAnsi" w:cstheme="minorHAnsi"/>
          <w:b/>
          <w:bCs/>
          <w:color w:val="FF0000"/>
        </w:rPr>
      </w:pPr>
    </w:p>
    <w:p w14:paraId="32816E74" w14:textId="77777777" w:rsidR="00564223" w:rsidRDefault="00564223" w:rsidP="00564223">
      <w:pPr>
        <w:rPr>
          <w:rFonts w:asciiTheme="minorHAnsi" w:hAnsiTheme="minorHAnsi" w:cstheme="minorHAnsi"/>
          <w:b/>
          <w:bCs/>
          <w:color w:val="FF0000"/>
        </w:rPr>
      </w:pPr>
    </w:p>
    <w:p w14:paraId="3EF3D003" w14:textId="522AE6E0" w:rsidR="00564223" w:rsidRPr="00564223" w:rsidRDefault="00564223" w:rsidP="00564223">
      <w:pPr>
        <w:rPr>
          <w:b/>
          <w:bCs/>
        </w:rPr>
      </w:pPr>
      <w:r w:rsidRPr="00564223">
        <w:rPr>
          <w:b/>
          <w:bCs/>
        </w:rPr>
        <w:t>END</w:t>
      </w:r>
    </w:p>
    <w:p w14:paraId="5D8A11B5" w14:textId="54E5BC89" w:rsidR="001E7B17" w:rsidRPr="000829CB" w:rsidRDefault="001E7B17" w:rsidP="00564223">
      <w:pPr>
        <w:spacing w:line="240" w:lineRule="auto"/>
        <w:rPr>
          <w:b/>
          <w:bCs/>
          <w:sz w:val="24"/>
          <w:szCs w:val="24"/>
        </w:rPr>
      </w:pPr>
    </w:p>
    <w:sectPr w:rsidR="001E7B17" w:rsidRPr="000829CB" w:rsidSect="000829CB">
      <w:footerReference w:type="default" r:id="rId17"/>
      <w:pgSz w:w="12240" w:h="15840" w:code="1"/>
      <w:pgMar w:top="1008" w:right="1152" w:bottom="720" w:left="1152" w:header="576"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DF660" w14:textId="77777777" w:rsidR="007C102B" w:rsidRDefault="007C102B" w:rsidP="000829CB">
      <w:pPr>
        <w:spacing w:line="240" w:lineRule="auto"/>
      </w:pPr>
      <w:r>
        <w:separator/>
      </w:r>
    </w:p>
  </w:endnote>
  <w:endnote w:type="continuationSeparator" w:id="0">
    <w:p w14:paraId="0B091F9A" w14:textId="77777777" w:rsidR="007C102B" w:rsidRDefault="007C102B" w:rsidP="000829CB">
      <w:pPr>
        <w:spacing w:line="240" w:lineRule="auto"/>
      </w:pPr>
      <w:r>
        <w:continuationSeparator/>
      </w:r>
    </w:p>
  </w:endnote>
  <w:endnote w:type="continuationNotice" w:id="1">
    <w:p w14:paraId="4F115321" w14:textId="77777777" w:rsidR="007C102B" w:rsidRDefault="007C102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ppins Medium">
    <w:charset w:val="00"/>
    <w:family w:val="auto"/>
    <w:pitch w:val="variable"/>
    <w:sig w:usb0="00008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3417313"/>
      <w:docPartObj>
        <w:docPartGallery w:val="Page Numbers (Bottom of Page)"/>
        <w:docPartUnique/>
      </w:docPartObj>
    </w:sdtPr>
    <w:sdtEndPr>
      <w:rPr>
        <w:noProof/>
      </w:rPr>
    </w:sdtEndPr>
    <w:sdtContent>
      <w:p w14:paraId="57E1BA6F" w14:textId="410BFAF3" w:rsidR="000829CB" w:rsidRDefault="000829C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AD7360" w14:textId="77777777" w:rsidR="003A059C" w:rsidRDefault="003A05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1DD8E" w14:textId="77777777" w:rsidR="007C102B" w:rsidRDefault="007C102B" w:rsidP="000829CB">
      <w:pPr>
        <w:spacing w:line="240" w:lineRule="auto"/>
      </w:pPr>
      <w:r>
        <w:separator/>
      </w:r>
    </w:p>
  </w:footnote>
  <w:footnote w:type="continuationSeparator" w:id="0">
    <w:p w14:paraId="6DE7CB77" w14:textId="77777777" w:rsidR="007C102B" w:rsidRDefault="007C102B" w:rsidP="000829CB">
      <w:pPr>
        <w:spacing w:line="240" w:lineRule="auto"/>
      </w:pPr>
      <w:r>
        <w:continuationSeparator/>
      </w:r>
    </w:p>
  </w:footnote>
  <w:footnote w:type="continuationNotice" w:id="1">
    <w:p w14:paraId="68BB2448" w14:textId="77777777" w:rsidR="007C102B" w:rsidRDefault="007C102B">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E5508"/>
    <w:multiLevelType w:val="hybridMultilevel"/>
    <w:tmpl w:val="8514BD0A"/>
    <w:lvl w:ilvl="0" w:tplc="6910F354">
      <w:start w:val="1"/>
      <w:numFmt w:val="bullet"/>
      <w:lvlText w:val="-"/>
      <w:lvlJc w:val="left"/>
      <w:pPr>
        <w:ind w:left="331" w:hanging="360"/>
      </w:pPr>
      <w:rPr>
        <w:rFonts w:ascii="Calibri" w:eastAsiaTheme="minorHAnsi" w:hAnsi="Calibri" w:cs="Calibri" w:hint="default"/>
      </w:rPr>
    </w:lvl>
    <w:lvl w:ilvl="1" w:tplc="04090003">
      <w:start w:val="1"/>
      <w:numFmt w:val="bullet"/>
      <w:lvlText w:val="o"/>
      <w:lvlJc w:val="left"/>
      <w:pPr>
        <w:ind w:left="1051" w:hanging="360"/>
      </w:pPr>
      <w:rPr>
        <w:rFonts w:ascii="Courier New" w:hAnsi="Courier New" w:cs="Courier New" w:hint="default"/>
      </w:rPr>
    </w:lvl>
    <w:lvl w:ilvl="2" w:tplc="04090005">
      <w:start w:val="1"/>
      <w:numFmt w:val="bullet"/>
      <w:lvlText w:val=""/>
      <w:lvlJc w:val="left"/>
      <w:pPr>
        <w:ind w:left="1771" w:hanging="360"/>
      </w:pPr>
      <w:rPr>
        <w:rFonts w:ascii="Wingdings" w:hAnsi="Wingdings" w:hint="default"/>
      </w:rPr>
    </w:lvl>
    <w:lvl w:ilvl="3" w:tplc="04090001">
      <w:start w:val="1"/>
      <w:numFmt w:val="bullet"/>
      <w:lvlText w:val=""/>
      <w:lvlJc w:val="left"/>
      <w:pPr>
        <w:ind w:left="2491" w:hanging="360"/>
      </w:pPr>
      <w:rPr>
        <w:rFonts w:ascii="Symbol" w:hAnsi="Symbol" w:hint="default"/>
      </w:rPr>
    </w:lvl>
    <w:lvl w:ilvl="4" w:tplc="04090003">
      <w:start w:val="1"/>
      <w:numFmt w:val="bullet"/>
      <w:lvlText w:val="o"/>
      <w:lvlJc w:val="left"/>
      <w:pPr>
        <w:ind w:left="3211" w:hanging="360"/>
      </w:pPr>
      <w:rPr>
        <w:rFonts w:ascii="Courier New" w:hAnsi="Courier New" w:cs="Courier New" w:hint="default"/>
      </w:rPr>
    </w:lvl>
    <w:lvl w:ilvl="5" w:tplc="04090005">
      <w:start w:val="1"/>
      <w:numFmt w:val="bullet"/>
      <w:lvlText w:val=""/>
      <w:lvlJc w:val="left"/>
      <w:pPr>
        <w:ind w:left="3931" w:hanging="360"/>
      </w:pPr>
      <w:rPr>
        <w:rFonts w:ascii="Wingdings" w:hAnsi="Wingdings" w:hint="default"/>
      </w:rPr>
    </w:lvl>
    <w:lvl w:ilvl="6" w:tplc="04090001">
      <w:start w:val="1"/>
      <w:numFmt w:val="bullet"/>
      <w:lvlText w:val=""/>
      <w:lvlJc w:val="left"/>
      <w:pPr>
        <w:ind w:left="4651" w:hanging="360"/>
      </w:pPr>
      <w:rPr>
        <w:rFonts w:ascii="Symbol" w:hAnsi="Symbol" w:hint="default"/>
      </w:rPr>
    </w:lvl>
    <w:lvl w:ilvl="7" w:tplc="04090003">
      <w:start w:val="1"/>
      <w:numFmt w:val="bullet"/>
      <w:lvlText w:val="o"/>
      <w:lvlJc w:val="left"/>
      <w:pPr>
        <w:ind w:left="5371" w:hanging="360"/>
      </w:pPr>
      <w:rPr>
        <w:rFonts w:ascii="Courier New" w:hAnsi="Courier New" w:cs="Courier New" w:hint="default"/>
      </w:rPr>
    </w:lvl>
    <w:lvl w:ilvl="8" w:tplc="04090005">
      <w:start w:val="1"/>
      <w:numFmt w:val="bullet"/>
      <w:lvlText w:val=""/>
      <w:lvlJc w:val="left"/>
      <w:pPr>
        <w:ind w:left="6091" w:hanging="360"/>
      </w:pPr>
      <w:rPr>
        <w:rFonts w:ascii="Wingdings" w:hAnsi="Wingdings" w:hint="default"/>
      </w:rPr>
    </w:lvl>
  </w:abstractNum>
  <w:abstractNum w:abstractNumId="1" w15:restartNumberingAfterBreak="0">
    <w:nsid w:val="15BF7402"/>
    <w:multiLevelType w:val="hybridMultilevel"/>
    <w:tmpl w:val="7A523BCC"/>
    <w:lvl w:ilvl="0" w:tplc="BBC8631E">
      <w:start w:val="2"/>
      <w:numFmt w:val="upperLetter"/>
      <w:lvlText w:val="%1."/>
      <w:lvlJc w:val="left"/>
      <w:pPr>
        <w:ind w:left="720" w:hanging="360"/>
      </w:pPr>
      <w:rPr>
        <w:rFonts w:ascii="Arial" w:hAnsi="Arial" w:hint="default"/>
        <w:color w:val="000000"/>
        <w:sz w:val="22"/>
      </w:rPr>
    </w:lvl>
    <w:lvl w:ilvl="1" w:tplc="F1389452" w:tentative="1">
      <w:start w:val="1"/>
      <w:numFmt w:val="lowerLetter"/>
      <w:lvlText w:val="%2."/>
      <w:lvlJc w:val="left"/>
      <w:pPr>
        <w:ind w:left="1440" w:hanging="360"/>
      </w:pPr>
    </w:lvl>
    <w:lvl w:ilvl="2" w:tplc="A17CBE0C" w:tentative="1">
      <w:start w:val="1"/>
      <w:numFmt w:val="lowerRoman"/>
      <w:lvlText w:val="%3."/>
      <w:lvlJc w:val="right"/>
      <w:pPr>
        <w:ind w:left="2160" w:hanging="180"/>
      </w:pPr>
    </w:lvl>
    <w:lvl w:ilvl="3" w:tplc="7E5AA618" w:tentative="1">
      <w:start w:val="1"/>
      <w:numFmt w:val="decimal"/>
      <w:lvlText w:val="%4."/>
      <w:lvlJc w:val="left"/>
      <w:pPr>
        <w:ind w:left="2880" w:hanging="360"/>
      </w:pPr>
    </w:lvl>
    <w:lvl w:ilvl="4" w:tplc="6F405EB2" w:tentative="1">
      <w:start w:val="1"/>
      <w:numFmt w:val="lowerLetter"/>
      <w:lvlText w:val="%5."/>
      <w:lvlJc w:val="left"/>
      <w:pPr>
        <w:ind w:left="3600" w:hanging="360"/>
      </w:pPr>
    </w:lvl>
    <w:lvl w:ilvl="5" w:tplc="410E3B20" w:tentative="1">
      <w:start w:val="1"/>
      <w:numFmt w:val="lowerRoman"/>
      <w:lvlText w:val="%6."/>
      <w:lvlJc w:val="right"/>
      <w:pPr>
        <w:ind w:left="4320" w:hanging="180"/>
      </w:pPr>
    </w:lvl>
    <w:lvl w:ilvl="6" w:tplc="870AE954" w:tentative="1">
      <w:start w:val="1"/>
      <w:numFmt w:val="decimal"/>
      <w:lvlText w:val="%7."/>
      <w:lvlJc w:val="left"/>
      <w:pPr>
        <w:ind w:left="5040" w:hanging="360"/>
      </w:pPr>
    </w:lvl>
    <w:lvl w:ilvl="7" w:tplc="D20A8998" w:tentative="1">
      <w:start w:val="1"/>
      <w:numFmt w:val="lowerLetter"/>
      <w:lvlText w:val="%8."/>
      <w:lvlJc w:val="left"/>
      <w:pPr>
        <w:ind w:left="5760" w:hanging="360"/>
      </w:pPr>
    </w:lvl>
    <w:lvl w:ilvl="8" w:tplc="112ABBD8" w:tentative="1">
      <w:start w:val="1"/>
      <w:numFmt w:val="lowerRoman"/>
      <w:lvlText w:val="%9."/>
      <w:lvlJc w:val="right"/>
      <w:pPr>
        <w:ind w:left="6480" w:hanging="180"/>
      </w:pPr>
    </w:lvl>
  </w:abstractNum>
  <w:abstractNum w:abstractNumId="2" w15:restartNumberingAfterBreak="0">
    <w:nsid w:val="15F056A6"/>
    <w:multiLevelType w:val="multilevel"/>
    <w:tmpl w:val="C338E6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5A72503"/>
    <w:multiLevelType w:val="hybridMultilevel"/>
    <w:tmpl w:val="2CBC880E"/>
    <w:lvl w:ilvl="0" w:tplc="7CC89C98">
      <w:start w:val="1"/>
      <w:numFmt w:val="upperLetter"/>
      <w:lvlText w:val="%1."/>
      <w:lvlJc w:val="left"/>
      <w:pPr>
        <w:ind w:left="720" w:hanging="360"/>
      </w:pPr>
      <w:rPr>
        <w:rFonts w:hint="default"/>
      </w:rPr>
    </w:lvl>
    <w:lvl w:ilvl="1" w:tplc="F13412D2" w:tentative="1">
      <w:start w:val="1"/>
      <w:numFmt w:val="lowerLetter"/>
      <w:lvlText w:val="%2."/>
      <w:lvlJc w:val="left"/>
      <w:pPr>
        <w:ind w:left="1440" w:hanging="360"/>
      </w:pPr>
    </w:lvl>
    <w:lvl w:ilvl="2" w:tplc="4AF2A4CA" w:tentative="1">
      <w:start w:val="1"/>
      <w:numFmt w:val="lowerRoman"/>
      <w:lvlText w:val="%3."/>
      <w:lvlJc w:val="right"/>
      <w:pPr>
        <w:ind w:left="2160" w:hanging="180"/>
      </w:pPr>
    </w:lvl>
    <w:lvl w:ilvl="3" w:tplc="48041016" w:tentative="1">
      <w:start w:val="1"/>
      <w:numFmt w:val="decimal"/>
      <w:lvlText w:val="%4."/>
      <w:lvlJc w:val="left"/>
      <w:pPr>
        <w:ind w:left="2880" w:hanging="360"/>
      </w:pPr>
    </w:lvl>
    <w:lvl w:ilvl="4" w:tplc="7922689C" w:tentative="1">
      <w:start w:val="1"/>
      <w:numFmt w:val="lowerLetter"/>
      <w:lvlText w:val="%5."/>
      <w:lvlJc w:val="left"/>
      <w:pPr>
        <w:ind w:left="3600" w:hanging="360"/>
      </w:pPr>
    </w:lvl>
    <w:lvl w:ilvl="5" w:tplc="83781B70" w:tentative="1">
      <w:start w:val="1"/>
      <w:numFmt w:val="lowerRoman"/>
      <w:lvlText w:val="%6."/>
      <w:lvlJc w:val="right"/>
      <w:pPr>
        <w:ind w:left="4320" w:hanging="180"/>
      </w:pPr>
    </w:lvl>
    <w:lvl w:ilvl="6" w:tplc="1A9E8E82" w:tentative="1">
      <w:start w:val="1"/>
      <w:numFmt w:val="decimal"/>
      <w:lvlText w:val="%7."/>
      <w:lvlJc w:val="left"/>
      <w:pPr>
        <w:ind w:left="5040" w:hanging="360"/>
      </w:pPr>
    </w:lvl>
    <w:lvl w:ilvl="7" w:tplc="8BCA4FA2" w:tentative="1">
      <w:start w:val="1"/>
      <w:numFmt w:val="lowerLetter"/>
      <w:lvlText w:val="%8."/>
      <w:lvlJc w:val="left"/>
      <w:pPr>
        <w:ind w:left="5760" w:hanging="360"/>
      </w:pPr>
    </w:lvl>
    <w:lvl w:ilvl="8" w:tplc="5A2EECA4" w:tentative="1">
      <w:start w:val="1"/>
      <w:numFmt w:val="lowerRoman"/>
      <w:lvlText w:val="%9."/>
      <w:lvlJc w:val="right"/>
      <w:pPr>
        <w:ind w:left="6480" w:hanging="180"/>
      </w:pPr>
    </w:lvl>
  </w:abstractNum>
  <w:abstractNum w:abstractNumId="4" w15:restartNumberingAfterBreak="0">
    <w:nsid w:val="36EB17D3"/>
    <w:multiLevelType w:val="hybridMultilevel"/>
    <w:tmpl w:val="3B800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147463"/>
    <w:multiLevelType w:val="hybridMultilevel"/>
    <w:tmpl w:val="BB485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9180C94"/>
    <w:multiLevelType w:val="hybridMultilevel"/>
    <w:tmpl w:val="DD34CCD0"/>
    <w:lvl w:ilvl="0" w:tplc="4F7EEC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B460AF"/>
    <w:multiLevelType w:val="hybridMultilevel"/>
    <w:tmpl w:val="B4D6E58A"/>
    <w:lvl w:ilvl="0" w:tplc="9376892C">
      <w:start w:val="1"/>
      <w:numFmt w:val="lowerLetter"/>
      <w:lvlText w:val="%1."/>
      <w:lvlJc w:val="left"/>
      <w:pPr>
        <w:ind w:left="360" w:hanging="360"/>
      </w:pPr>
      <w:rPr>
        <w:rFonts w:ascii="Arial" w:eastAsia="Calibri"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A335C0E"/>
    <w:multiLevelType w:val="hybridMultilevel"/>
    <w:tmpl w:val="A7A61D76"/>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D3D5EC8"/>
    <w:multiLevelType w:val="multilevel"/>
    <w:tmpl w:val="D048FD42"/>
    <w:lvl w:ilvl="0">
      <w:start w:val="7"/>
      <w:numFmt w:val="decimal"/>
      <w:lvlText w:val="%1"/>
      <w:lvlJc w:val="left"/>
      <w:pPr>
        <w:ind w:left="405" w:hanging="405"/>
      </w:pPr>
    </w:lvl>
    <w:lvl w:ilvl="1">
      <w:start w:val="1"/>
      <w:numFmt w:val="decimal"/>
      <w:lvlText w:val="%1.%2"/>
      <w:lvlJc w:val="left"/>
      <w:pPr>
        <w:ind w:left="1296" w:hanging="720"/>
      </w:pPr>
    </w:lvl>
    <w:lvl w:ilvl="2">
      <w:start w:val="1"/>
      <w:numFmt w:val="decimal"/>
      <w:lvlText w:val="%1.%2.%3"/>
      <w:lvlJc w:val="left"/>
      <w:pPr>
        <w:ind w:left="1872" w:hanging="720"/>
      </w:pPr>
    </w:lvl>
    <w:lvl w:ilvl="3">
      <w:start w:val="1"/>
      <w:numFmt w:val="decimal"/>
      <w:lvlText w:val="%1.%2.%3.%4"/>
      <w:lvlJc w:val="left"/>
      <w:pPr>
        <w:ind w:left="2808" w:hanging="1080"/>
      </w:pPr>
    </w:lvl>
    <w:lvl w:ilvl="4">
      <w:start w:val="1"/>
      <w:numFmt w:val="decimal"/>
      <w:lvlText w:val="%1.%2.%3.%4.%5"/>
      <w:lvlJc w:val="left"/>
      <w:pPr>
        <w:ind w:left="3744" w:hanging="1440"/>
      </w:pPr>
    </w:lvl>
    <w:lvl w:ilvl="5">
      <w:start w:val="1"/>
      <w:numFmt w:val="decimal"/>
      <w:lvlText w:val="%1.%2.%3.%4.%5.%6"/>
      <w:lvlJc w:val="left"/>
      <w:pPr>
        <w:ind w:left="4320" w:hanging="1440"/>
      </w:pPr>
    </w:lvl>
    <w:lvl w:ilvl="6">
      <w:start w:val="1"/>
      <w:numFmt w:val="decimal"/>
      <w:lvlText w:val="%1.%2.%3.%4.%5.%6.%7"/>
      <w:lvlJc w:val="left"/>
      <w:pPr>
        <w:ind w:left="5256" w:hanging="1800"/>
      </w:pPr>
    </w:lvl>
    <w:lvl w:ilvl="7">
      <w:start w:val="1"/>
      <w:numFmt w:val="decimal"/>
      <w:lvlText w:val="%1.%2.%3.%4.%5.%6.%7.%8"/>
      <w:lvlJc w:val="left"/>
      <w:pPr>
        <w:ind w:left="5832" w:hanging="1800"/>
      </w:pPr>
    </w:lvl>
    <w:lvl w:ilvl="8">
      <w:start w:val="1"/>
      <w:numFmt w:val="decimal"/>
      <w:lvlText w:val="%1.%2.%3.%4.%5.%6.%7.%8.%9"/>
      <w:lvlJc w:val="left"/>
      <w:pPr>
        <w:ind w:left="6768" w:hanging="2160"/>
      </w:pPr>
    </w:lvl>
  </w:abstractNum>
  <w:abstractNum w:abstractNumId="10" w15:restartNumberingAfterBreak="0">
    <w:nsid w:val="540F7C9C"/>
    <w:multiLevelType w:val="multilevel"/>
    <w:tmpl w:val="7B4EC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1E1CD1"/>
    <w:multiLevelType w:val="hybridMultilevel"/>
    <w:tmpl w:val="AD44AC28"/>
    <w:lvl w:ilvl="0" w:tplc="AC3AAC14">
      <w:start w:val="1"/>
      <w:numFmt w:val="decimal"/>
      <w:lvlText w:val="%1."/>
      <w:lvlJc w:val="left"/>
      <w:pPr>
        <w:ind w:left="720" w:hanging="360"/>
      </w:pPr>
      <w:rPr>
        <w:rFonts w:hint="default"/>
      </w:rPr>
    </w:lvl>
    <w:lvl w:ilvl="1" w:tplc="0594800E" w:tentative="1">
      <w:start w:val="1"/>
      <w:numFmt w:val="lowerLetter"/>
      <w:lvlText w:val="%2."/>
      <w:lvlJc w:val="left"/>
      <w:pPr>
        <w:ind w:left="1440" w:hanging="360"/>
      </w:pPr>
    </w:lvl>
    <w:lvl w:ilvl="2" w:tplc="3260E1DC" w:tentative="1">
      <w:start w:val="1"/>
      <w:numFmt w:val="lowerRoman"/>
      <w:lvlText w:val="%3."/>
      <w:lvlJc w:val="right"/>
      <w:pPr>
        <w:ind w:left="2160" w:hanging="180"/>
      </w:pPr>
    </w:lvl>
    <w:lvl w:ilvl="3" w:tplc="56265D06" w:tentative="1">
      <w:start w:val="1"/>
      <w:numFmt w:val="decimal"/>
      <w:lvlText w:val="%4."/>
      <w:lvlJc w:val="left"/>
      <w:pPr>
        <w:ind w:left="2880" w:hanging="360"/>
      </w:pPr>
    </w:lvl>
    <w:lvl w:ilvl="4" w:tplc="33F2499C" w:tentative="1">
      <w:start w:val="1"/>
      <w:numFmt w:val="lowerLetter"/>
      <w:lvlText w:val="%5."/>
      <w:lvlJc w:val="left"/>
      <w:pPr>
        <w:ind w:left="3600" w:hanging="360"/>
      </w:pPr>
    </w:lvl>
    <w:lvl w:ilvl="5" w:tplc="4694F47E" w:tentative="1">
      <w:start w:val="1"/>
      <w:numFmt w:val="lowerRoman"/>
      <w:lvlText w:val="%6."/>
      <w:lvlJc w:val="right"/>
      <w:pPr>
        <w:ind w:left="4320" w:hanging="180"/>
      </w:pPr>
    </w:lvl>
    <w:lvl w:ilvl="6" w:tplc="2D7439DC" w:tentative="1">
      <w:start w:val="1"/>
      <w:numFmt w:val="decimal"/>
      <w:lvlText w:val="%7."/>
      <w:lvlJc w:val="left"/>
      <w:pPr>
        <w:ind w:left="5040" w:hanging="360"/>
      </w:pPr>
    </w:lvl>
    <w:lvl w:ilvl="7" w:tplc="0FE6453E" w:tentative="1">
      <w:start w:val="1"/>
      <w:numFmt w:val="lowerLetter"/>
      <w:lvlText w:val="%8."/>
      <w:lvlJc w:val="left"/>
      <w:pPr>
        <w:ind w:left="5760" w:hanging="360"/>
      </w:pPr>
    </w:lvl>
    <w:lvl w:ilvl="8" w:tplc="A8763AAE" w:tentative="1">
      <w:start w:val="1"/>
      <w:numFmt w:val="lowerRoman"/>
      <w:lvlText w:val="%9."/>
      <w:lvlJc w:val="right"/>
      <w:pPr>
        <w:ind w:left="6480" w:hanging="180"/>
      </w:pPr>
    </w:lvl>
  </w:abstractNum>
  <w:abstractNum w:abstractNumId="12" w15:restartNumberingAfterBreak="0">
    <w:nsid w:val="665638F5"/>
    <w:multiLevelType w:val="hybridMultilevel"/>
    <w:tmpl w:val="A42A8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0A4102E"/>
    <w:multiLevelType w:val="hybridMultilevel"/>
    <w:tmpl w:val="7C5C7AF8"/>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F1E718C"/>
    <w:multiLevelType w:val="hybridMultilevel"/>
    <w:tmpl w:val="C4B63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52518280">
    <w:abstractNumId w:val="2"/>
  </w:num>
  <w:num w:numId="2" w16cid:durableId="1023480214">
    <w:abstractNumId w:val="10"/>
  </w:num>
  <w:num w:numId="3" w16cid:durableId="1552496206">
    <w:abstractNumId w:val="4"/>
  </w:num>
  <w:num w:numId="4" w16cid:durableId="1972251152">
    <w:abstractNumId w:val="3"/>
  </w:num>
  <w:num w:numId="5" w16cid:durableId="1629776667">
    <w:abstractNumId w:val="1"/>
  </w:num>
  <w:num w:numId="6" w16cid:durableId="1073550957">
    <w:abstractNumId w:val="11"/>
  </w:num>
  <w:num w:numId="7" w16cid:durableId="1861746835">
    <w:abstractNumId w:val="8"/>
  </w:num>
  <w:num w:numId="8" w16cid:durableId="602689454">
    <w:abstractNumId w:val="13"/>
  </w:num>
  <w:num w:numId="9" w16cid:durableId="258874220">
    <w:abstractNumId w:val="5"/>
  </w:num>
  <w:num w:numId="10" w16cid:durableId="651719257">
    <w:abstractNumId w:val="0"/>
  </w:num>
  <w:num w:numId="11" w16cid:durableId="515846033">
    <w:abstractNumId w:val="14"/>
  </w:num>
  <w:num w:numId="12" w16cid:durableId="2000839661">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14181801">
    <w:abstractNumId w:val="6"/>
  </w:num>
  <w:num w:numId="14" w16cid:durableId="891188698">
    <w:abstractNumId w:val="12"/>
  </w:num>
  <w:num w:numId="15" w16cid:durableId="21220698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B17"/>
    <w:rsid w:val="000011A2"/>
    <w:rsid w:val="0000140D"/>
    <w:rsid w:val="000037A3"/>
    <w:rsid w:val="0000433F"/>
    <w:rsid w:val="000067B0"/>
    <w:rsid w:val="000119C7"/>
    <w:rsid w:val="000131CB"/>
    <w:rsid w:val="0001547A"/>
    <w:rsid w:val="00017D89"/>
    <w:rsid w:val="00025046"/>
    <w:rsid w:val="00025262"/>
    <w:rsid w:val="0003428C"/>
    <w:rsid w:val="00035187"/>
    <w:rsid w:val="00036339"/>
    <w:rsid w:val="00040185"/>
    <w:rsid w:val="000404DE"/>
    <w:rsid w:val="00047F0F"/>
    <w:rsid w:val="0005304D"/>
    <w:rsid w:val="000559EA"/>
    <w:rsid w:val="0005682C"/>
    <w:rsid w:val="0005731B"/>
    <w:rsid w:val="0005786E"/>
    <w:rsid w:val="000601F3"/>
    <w:rsid w:val="00060339"/>
    <w:rsid w:val="00061FD6"/>
    <w:rsid w:val="0006556F"/>
    <w:rsid w:val="00065FA9"/>
    <w:rsid w:val="00066609"/>
    <w:rsid w:val="00076974"/>
    <w:rsid w:val="00080272"/>
    <w:rsid w:val="000817F2"/>
    <w:rsid w:val="0008234F"/>
    <w:rsid w:val="00082537"/>
    <w:rsid w:val="000829CB"/>
    <w:rsid w:val="00083133"/>
    <w:rsid w:val="00083608"/>
    <w:rsid w:val="00091593"/>
    <w:rsid w:val="000931CA"/>
    <w:rsid w:val="00093736"/>
    <w:rsid w:val="0009391C"/>
    <w:rsid w:val="00094D0D"/>
    <w:rsid w:val="00094FB7"/>
    <w:rsid w:val="00096865"/>
    <w:rsid w:val="00096DC9"/>
    <w:rsid w:val="000A0A48"/>
    <w:rsid w:val="000A3C34"/>
    <w:rsid w:val="000A40B8"/>
    <w:rsid w:val="000A7ED1"/>
    <w:rsid w:val="000B1052"/>
    <w:rsid w:val="000B247D"/>
    <w:rsid w:val="000B6694"/>
    <w:rsid w:val="000B7354"/>
    <w:rsid w:val="000C0E14"/>
    <w:rsid w:val="000C3905"/>
    <w:rsid w:val="000C6FC1"/>
    <w:rsid w:val="000D09D5"/>
    <w:rsid w:val="000D0BD1"/>
    <w:rsid w:val="000D1362"/>
    <w:rsid w:val="000D2CB4"/>
    <w:rsid w:val="000D4E62"/>
    <w:rsid w:val="000D5366"/>
    <w:rsid w:val="000D6948"/>
    <w:rsid w:val="000D7BE0"/>
    <w:rsid w:val="000E6A16"/>
    <w:rsid w:val="000E6AF8"/>
    <w:rsid w:val="000E76E7"/>
    <w:rsid w:val="000F0F69"/>
    <w:rsid w:val="000F160A"/>
    <w:rsid w:val="000F24CB"/>
    <w:rsid w:val="000F2FD2"/>
    <w:rsid w:val="000F3D1B"/>
    <w:rsid w:val="000F4B03"/>
    <w:rsid w:val="000F6BD7"/>
    <w:rsid w:val="00101731"/>
    <w:rsid w:val="00103F13"/>
    <w:rsid w:val="001049D6"/>
    <w:rsid w:val="00110647"/>
    <w:rsid w:val="001106CB"/>
    <w:rsid w:val="00111D8F"/>
    <w:rsid w:val="001146D4"/>
    <w:rsid w:val="00115A6D"/>
    <w:rsid w:val="00115B72"/>
    <w:rsid w:val="001210EB"/>
    <w:rsid w:val="00121ED0"/>
    <w:rsid w:val="00125D87"/>
    <w:rsid w:val="001310ED"/>
    <w:rsid w:val="00137658"/>
    <w:rsid w:val="00140692"/>
    <w:rsid w:val="00140D33"/>
    <w:rsid w:val="00141A2A"/>
    <w:rsid w:val="00143DA7"/>
    <w:rsid w:val="00144BC5"/>
    <w:rsid w:val="001519A5"/>
    <w:rsid w:val="00153B52"/>
    <w:rsid w:val="00154F75"/>
    <w:rsid w:val="00155E3F"/>
    <w:rsid w:val="00156CB6"/>
    <w:rsid w:val="00160175"/>
    <w:rsid w:val="00161891"/>
    <w:rsid w:val="0017146D"/>
    <w:rsid w:val="001737EF"/>
    <w:rsid w:val="00173CF9"/>
    <w:rsid w:val="0017649E"/>
    <w:rsid w:val="00185B74"/>
    <w:rsid w:val="00185F1C"/>
    <w:rsid w:val="001905EA"/>
    <w:rsid w:val="00191968"/>
    <w:rsid w:val="00191D7E"/>
    <w:rsid w:val="00194D5E"/>
    <w:rsid w:val="00196D8C"/>
    <w:rsid w:val="00197DA4"/>
    <w:rsid w:val="001A027E"/>
    <w:rsid w:val="001A0AA1"/>
    <w:rsid w:val="001B02BC"/>
    <w:rsid w:val="001B106B"/>
    <w:rsid w:val="001B658B"/>
    <w:rsid w:val="001C030B"/>
    <w:rsid w:val="001C6D8A"/>
    <w:rsid w:val="001C731C"/>
    <w:rsid w:val="001C7F32"/>
    <w:rsid w:val="001D2FF1"/>
    <w:rsid w:val="001D453B"/>
    <w:rsid w:val="001D4B7D"/>
    <w:rsid w:val="001D57EE"/>
    <w:rsid w:val="001E1425"/>
    <w:rsid w:val="001E54FE"/>
    <w:rsid w:val="001E7B17"/>
    <w:rsid w:val="001F3DE6"/>
    <w:rsid w:val="00205464"/>
    <w:rsid w:val="002056C1"/>
    <w:rsid w:val="0020733A"/>
    <w:rsid w:val="00212E17"/>
    <w:rsid w:val="002131EC"/>
    <w:rsid w:val="00213225"/>
    <w:rsid w:val="00214E55"/>
    <w:rsid w:val="00216859"/>
    <w:rsid w:val="0022089E"/>
    <w:rsid w:val="00221FB2"/>
    <w:rsid w:val="00223995"/>
    <w:rsid w:val="002263A5"/>
    <w:rsid w:val="0023095C"/>
    <w:rsid w:val="00231883"/>
    <w:rsid w:val="00234CC7"/>
    <w:rsid w:val="00235F00"/>
    <w:rsid w:val="002363B9"/>
    <w:rsid w:val="00236F53"/>
    <w:rsid w:val="002428B0"/>
    <w:rsid w:val="00242BA4"/>
    <w:rsid w:val="002507D8"/>
    <w:rsid w:val="002524AC"/>
    <w:rsid w:val="002563AA"/>
    <w:rsid w:val="00261831"/>
    <w:rsid w:val="00261FD0"/>
    <w:rsid w:val="002630BA"/>
    <w:rsid w:val="002671FB"/>
    <w:rsid w:val="002723D0"/>
    <w:rsid w:val="00272A72"/>
    <w:rsid w:val="00281605"/>
    <w:rsid w:val="0028164B"/>
    <w:rsid w:val="002829D3"/>
    <w:rsid w:val="00283AF5"/>
    <w:rsid w:val="00284BB9"/>
    <w:rsid w:val="002860FA"/>
    <w:rsid w:val="002921F3"/>
    <w:rsid w:val="00292901"/>
    <w:rsid w:val="002953C3"/>
    <w:rsid w:val="002A0CAA"/>
    <w:rsid w:val="002A2430"/>
    <w:rsid w:val="002A3E52"/>
    <w:rsid w:val="002B5C29"/>
    <w:rsid w:val="002C0C25"/>
    <w:rsid w:val="002C1246"/>
    <w:rsid w:val="002C2A07"/>
    <w:rsid w:val="002C2E10"/>
    <w:rsid w:val="002C3329"/>
    <w:rsid w:val="002C4D9D"/>
    <w:rsid w:val="002D0D37"/>
    <w:rsid w:val="002D4A73"/>
    <w:rsid w:val="002D5AA9"/>
    <w:rsid w:val="002D5D86"/>
    <w:rsid w:val="002D6ACF"/>
    <w:rsid w:val="002E0D0D"/>
    <w:rsid w:val="002E5E1B"/>
    <w:rsid w:val="002E6E36"/>
    <w:rsid w:val="002E7C64"/>
    <w:rsid w:val="002F245E"/>
    <w:rsid w:val="002F336A"/>
    <w:rsid w:val="002F3F6C"/>
    <w:rsid w:val="002F7465"/>
    <w:rsid w:val="002F7B46"/>
    <w:rsid w:val="00300E86"/>
    <w:rsid w:val="003052EC"/>
    <w:rsid w:val="003057F3"/>
    <w:rsid w:val="00307819"/>
    <w:rsid w:val="0031107A"/>
    <w:rsid w:val="0031205B"/>
    <w:rsid w:val="0031656A"/>
    <w:rsid w:val="003204F2"/>
    <w:rsid w:val="0032493F"/>
    <w:rsid w:val="00325D20"/>
    <w:rsid w:val="00325E84"/>
    <w:rsid w:val="00326973"/>
    <w:rsid w:val="00330236"/>
    <w:rsid w:val="00333847"/>
    <w:rsid w:val="003345A5"/>
    <w:rsid w:val="003348E3"/>
    <w:rsid w:val="00337F21"/>
    <w:rsid w:val="00342F3C"/>
    <w:rsid w:val="00345394"/>
    <w:rsid w:val="00345F14"/>
    <w:rsid w:val="003476D9"/>
    <w:rsid w:val="003500D4"/>
    <w:rsid w:val="00350293"/>
    <w:rsid w:val="00352941"/>
    <w:rsid w:val="00357D17"/>
    <w:rsid w:val="0036015F"/>
    <w:rsid w:val="00360805"/>
    <w:rsid w:val="003626BE"/>
    <w:rsid w:val="00362DEC"/>
    <w:rsid w:val="003635D9"/>
    <w:rsid w:val="00363974"/>
    <w:rsid w:val="0036475F"/>
    <w:rsid w:val="003649AE"/>
    <w:rsid w:val="003666BF"/>
    <w:rsid w:val="003667B8"/>
    <w:rsid w:val="003732C1"/>
    <w:rsid w:val="00377A0D"/>
    <w:rsid w:val="0038044A"/>
    <w:rsid w:val="00381B12"/>
    <w:rsid w:val="003830CB"/>
    <w:rsid w:val="00385568"/>
    <w:rsid w:val="003941E1"/>
    <w:rsid w:val="00397070"/>
    <w:rsid w:val="003A059C"/>
    <w:rsid w:val="003A1C0C"/>
    <w:rsid w:val="003A220F"/>
    <w:rsid w:val="003A75C8"/>
    <w:rsid w:val="003B0851"/>
    <w:rsid w:val="003B46F6"/>
    <w:rsid w:val="003C10B8"/>
    <w:rsid w:val="003C28DF"/>
    <w:rsid w:val="003C3947"/>
    <w:rsid w:val="003C3F2E"/>
    <w:rsid w:val="003C69EC"/>
    <w:rsid w:val="003D16E4"/>
    <w:rsid w:val="003D184F"/>
    <w:rsid w:val="003D4CCD"/>
    <w:rsid w:val="003D4EB7"/>
    <w:rsid w:val="003D5E4B"/>
    <w:rsid w:val="003E16A9"/>
    <w:rsid w:val="003E2D70"/>
    <w:rsid w:val="003E2FBC"/>
    <w:rsid w:val="003E3467"/>
    <w:rsid w:val="003F1A45"/>
    <w:rsid w:val="003F1FFD"/>
    <w:rsid w:val="003F350B"/>
    <w:rsid w:val="00402D0E"/>
    <w:rsid w:val="00417198"/>
    <w:rsid w:val="00417B9A"/>
    <w:rsid w:val="00420985"/>
    <w:rsid w:val="00424822"/>
    <w:rsid w:val="004278DB"/>
    <w:rsid w:val="00427C6F"/>
    <w:rsid w:val="00431B5F"/>
    <w:rsid w:val="00437D15"/>
    <w:rsid w:val="004426E3"/>
    <w:rsid w:val="004433D2"/>
    <w:rsid w:val="00443912"/>
    <w:rsid w:val="004474A0"/>
    <w:rsid w:val="004475ED"/>
    <w:rsid w:val="00454FBA"/>
    <w:rsid w:val="0045641E"/>
    <w:rsid w:val="004570AC"/>
    <w:rsid w:val="00460A7D"/>
    <w:rsid w:val="00474F12"/>
    <w:rsid w:val="00483573"/>
    <w:rsid w:val="00483634"/>
    <w:rsid w:val="00484DEE"/>
    <w:rsid w:val="004850FC"/>
    <w:rsid w:val="00492F9E"/>
    <w:rsid w:val="00493AE6"/>
    <w:rsid w:val="00495886"/>
    <w:rsid w:val="00497957"/>
    <w:rsid w:val="004A2148"/>
    <w:rsid w:val="004A3E48"/>
    <w:rsid w:val="004A5D3A"/>
    <w:rsid w:val="004C0C59"/>
    <w:rsid w:val="004C27C0"/>
    <w:rsid w:val="004C3384"/>
    <w:rsid w:val="004C752A"/>
    <w:rsid w:val="004D11AE"/>
    <w:rsid w:val="004D16A2"/>
    <w:rsid w:val="004D2F16"/>
    <w:rsid w:val="004D3231"/>
    <w:rsid w:val="004D42DA"/>
    <w:rsid w:val="004D4F7F"/>
    <w:rsid w:val="004D5822"/>
    <w:rsid w:val="004E070D"/>
    <w:rsid w:val="004E0C53"/>
    <w:rsid w:val="004E205D"/>
    <w:rsid w:val="004E21EB"/>
    <w:rsid w:val="004E2705"/>
    <w:rsid w:val="004E4E06"/>
    <w:rsid w:val="004E5A70"/>
    <w:rsid w:val="004E633D"/>
    <w:rsid w:val="004E72C3"/>
    <w:rsid w:val="004F0D68"/>
    <w:rsid w:val="004F49B6"/>
    <w:rsid w:val="004F7056"/>
    <w:rsid w:val="004F789C"/>
    <w:rsid w:val="00503C58"/>
    <w:rsid w:val="00505C79"/>
    <w:rsid w:val="00506051"/>
    <w:rsid w:val="005071D9"/>
    <w:rsid w:val="005077A1"/>
    <w:rsid w:val="005118BA"/>
    <w:rsid w:val="00513CDF"/>
    <w:rsid w:val="00514D1C"/>
    <w:rsid w:val="00515DAA"/>
    <w:rsid w:val="00521EA3"/>
    <w:rsid w:val="005273AD"/>
    <w:rsid w:val="005276D4"/>
    <w:rsid w:val="00530F8C"/>
    <w:rsid w:val="0053104D"/>
    <w:rsid w:val="00531CBC"/>
    <w:rsid w:val="00534FBD"/>
    <w:rsid w:val="00541E4F"/>
    <w:rsid w:val="00541EF0"/>
    <w:rsid w:val="00544082"/>
    <w:rsid w:val="00544C3C"/>
    <w:rsid w:val="00546A88"/>
    <w:rsid w:val="00550A76"/>
    <w:rsid w:val="00551E4A"/>
    <w:rsid w:val="005540B1"/>
    <w:rsid w:val="00563EDC"/>
    <w:rsid w:val="00564223"/>
    <w:rsid w:val="005657F0"/>
    <w:rsid w:val="00570118"/>
    <w:rsid w:val="00570D18"/>
    <w:rsid w:val="005719AB"/>
    <w:rsid w:val="00572D73"/>
    <w:rsid w:val="00573BE5"/>
    <w:rsid w:val="00574F6A"/>
    <w:rsid w:val="00576D56"/>
    <w:rsid w:val="00576DD7"/>
    <w:rsid w:val="00580964"/>
    <w:rsid w:val="00582615"/>
    <w:rsid w:val="00582A6E"/>
    <w:rsid w:val="00582F9A"/>
    <w:rsid w:val="005831F7"/>
    <w:rsid w:val="00584DB0"/>
    <w:rsid w:val="00584EF6"/>
    <w:rsid w:val="0058641B"/>
    <w:rsid w:val="005871F7"/>
    <w:rsid w:val="00593389"/>
    <w:rsid w:val="00596BDA"/>
    <w:rsid w:val="005A025B"/>
    <w:rsid w:val="005A18FE"/>
    <w:rsid w:val="005A557A"/>
    <w:rsid w:val="005A72C8"/>
    <w:rsid w:val="005A75B6"/>
    <w:rsid w:val="005A7636"/>
    <w:rsid w:val="005B0971"/>
    <w:rsid w:val="005C49FF"/>
    <w:rsid w:val="005C4A7F"/>
    <w:rsid w:val="005D0FBA"/>
    <w:rsid w:val="005D1DA6"/>
    <w:rsid w:val="005D2351"/>
    <w:rsid w:val="005D2608"/>
    <w:rsid w:val="005D2834"/>
    <w:rsid w:val="005D467E"/>
    <w:rsid w:val="005D59EE"/>
    <w:rsid w:val="005D6082"/>
    <w:rsid w:val="005D7864"/>
    <w:rsid w:val="005E3A1A"/>
    <w:rsid w:val="005E3B2A"/>
    <w:rsid w:val="005E4F44"/>
    <w:rsid w:val="005E79D5"/>
    <w:rsid w:val="005F2A87"/>
    <w:rsid w:val="005F3A52"/>
    <w:rsid w:val="00601595"/>
    <w:rsid w:val="0060533C"/>
    <w:rsid w:val="00605648"/>
    <w:rsid w:val="0060690C"/>
    <w:rsid w:val="0061214C"/>
    <w:rsid w:val="00614B64"/>
    <w:rsid w:val="00617009"/>
    <w:rsid w:val="00617087"/>
    <w:rsid w:val="00617E73"/>
    <w:rsid w:val="00617FBF"/>
    <w:rsid w:val="00624680"/>
    <w:rsid w:val="00626D96"/>
    <w:rsid w:val="006274B6"/>
    <w:rsid w:val="00627505"/>
    <w:rsid w:val="00627DF0"/>
    <w:rsid w:val="006375A2"/>
    <w:rsid w:val="00641DF7"/>
    <w:rsid w:val="00644B46"/>
    <w:rsid w:val="00646301"/>
    <w:rsid w:val="00653045"/>
    <w:rsid w:val="00657A47"/>
    <w:rsid w:val="0066031B"/>
    <w:rsid w:val="00661FAC"/>
    <w:rsid w:val="0066690A"/>
    <w:rsid w:val="00671339"/>
    <w:rsid w:val="00673ABC"/>
    <w:rsid w:val="0067431C"/>
    <w:rsid w:val="00674A83"/>
    <w:rsid w:val="00681CBB"/>
    <w:rsid w:val="0068347C"/>
    <w:rsid w:val="00684544"/>
    <w:rsid w:val="00697747"/>
    <w:rsid w:val="00697ABA"/>
    <w:rsid w:val="006A12CB"/>
    <w:rsid w:val="006A3B7C"/>
    <w:rsid w:val="006A3E9C"/>
    <w:rsid w:val="006B085D"/>
    <w:rsid w:val="006B13F9"/>
    <w:rsid w:val="006B2C08"/>
    <w:rsid w:val="006C31FE"/>
    <w:rsid w:val="006C3ABD"/>
    <w:rsid w:val="006C5FDA"/>
    <w:rsid w:val="006C65DC"/>
    <w:rsid w:val="006D153B"/>
    <w:rsid w:val="006D2607"/>
    <w:rsid w:val="006D54BB"/>
    <w:rsid w:val="006E59CE"/>
    <w:rsid w:val="006E68FF"/>
    <w:rsid w:val="006E71CB"/>
    <w:rsid w:val="006E7FBD"/>
    <w:rsid w:val="006F3A8A"/>
    <w:rsid w:val="006F42E2"/>
    <w:rsid w:val="006F5CB0"/>
    <w:rsid w:val="006F6539"/>
    <w:rsid w:val="006F6F54"/>
    <w:rsid w:val="0070009C"/>
    <w:rsid w:val="00700A4D"/>
    <w:rsid w:val="00703296"/>
    <w:rsid w:val="00703758"/>
    <w:rsid w:val="007039A1"/>
    <w:rsid w:val="007063B7"/>
    <w:rsid w:val="00706979"/>
    <w:rsid w:val="007100FB"/>
    <w:rsid w:val="00714275"/>
    <w:rsid w:val="007208C9"/>
    <w:rsid w:val="007225F1"/>
    <w:rsid w:val="007261A2"/>
    <w:rsid w:val="007319F4"/>
    <w:rsid w:val="00733180"/>
    <w:rsid w:val="00737FF7"/>
    <w:rsid w:val="00742E94"/>
    <w:rsid w:val="0074340E"/>
    <w:rsid w:val="00746C11"/>
    <w:rsid w:val="007506F9"/>
    <w:rsid w:val="0075261D"/>
    <w:rsid w:val="00752A1E"/>
    <w:rsid w:val="00754CA4"/>
    <w:rsid w:val="00757575"/>
    <w:rsid w:val="007628ED"/>
    <w:rsid w:val="00762D21"/>
    <w:rsid w:val="0076364B"/>
    <w:rsid w:val="00766D1C"/>
    <w:rsid w:val="007672A2"/>
    <w:rsid w:val="0077073E"/>
    <w:rsid w:val="007711CB"/>
    <w:rsid w:val="007737A2"/>
    <w:rsid w:val="00774CBC"/>
    <w:rsid w:val="00775A28"/>
    <w:rsid w:val="00777605"/>
    <w:rsid w:val="007801AD"/>
    <w:rsid w:val="007828B8"/>
    <w:rsid w:val="00784D28"/>
    <w:rsid w:val="00790BFD"/>
    <w:rsid w:val="00794CB6"/>
    <w:rsid w:val="00795609"/>
    <w:rsid w:val="007A60D9"/>
    <w:rsid w:val="007A6A00"/>
    <w:rsid w:val="007B1236"/>
    <w:rsid w:val="007B20FB"/>
    <w:rsid w:val="007B768C"/>
    <w:rsid w:val="007B78A3"/>
    <w:rsid w:val="007B7E99"/>
    <w:rsid w:val="007B7EE3"/>
    <w:rsid w:val="007C01A0"/>
    <w:rsid w:val="007C02DD"/>
    <w:rsid w:val="007C102B"/>
    <w:rsid w:val="007C14B9"/>
    <w:rsid w:val="007C1F85"/>
    <w:rsid w:val="007C35E5"/>
    <w:rsid w:val="007C45BD"/>
    <w:rsid w:val="007C4775"/>
    <w:rsid w:val="007C5259"/>
    <w:rsid w:val="007C54F1"/>
    <w:rsid w:val="007C682D"/>
    <w:rsid w:val="007C77AA"/>
    <w:rsid w:val="007C7E3D"/>
    <w:rsid w:val="007D1AB6"/>
    <w:rsid w:val="007D2090"/>
    <w:rsid w:val="007D2B7E"/>
    <w:rsid w:val="007D33DD"/>
    <w:rsid w:val="007D5809"/>
    <w:rsid w:val="007E5D05"/>
    <w:rsid w:val="007E60E1"/>
    <w:rsid w:val="007E684D"/>
    <w:rsid w:val="007E6E4B"/>
    <w:rsid w:val="007F18DD"/>
    <w:rsid w:val="007F4247"/>
    <w:rsid w:val="00800BF0"/>
    <w:rsid w:val="00801275"/>
    <w:rsid w:val="008034B4"/>
    <w:rsid w:val="008102CC"/>
    <w:rsid w:val="008107C5"/>
    <w:rsid w:val="0081226C"/>
    <w:rsid w:val="0081227A"/>
    <w:rsid w:val="0081291A"/>
    <w:rsid w:val="00812A0F"/>
    <w:rsid w:val="00814754"/>
    <w:rsid w:val="0081515B"/>
    <w:rsid w:val="00815C30"/>
    <w:rsid w:val="00820335"/>
    <w:rsid w:val="008223ED"/>
    <w:rsid w:val="00822A08"/>
    <w:rsid w:val="00822BAB"/>
    <w:rsid w:val="00826703"/>
    <w:rsid w:val="00831E50"/>
    <w:rsid w:val="00832053"/>
    <w:rsid w:val="00833126"/>
    <w:rsid w:val="0083426D"/>
    <w:rsid w:val="00834E02"/>
    <w:rsid w:val="0083521C"/>
    <w:rsid w:val="00835DC7"/>
    <w:rsid w:val="0084106A"/>
    <w:rsid w:val="00841853"/>
    <w:rsid w:val="00841E76"/>
    <w:rsid w:val="00841E95"/>
    <w:rsid w:val="00844B6A"/>
    <w:rsid w:val="0084708B"/>
    <w:rsid w:val="00850B4A"/>
    <w:rsid w:val="00850E4B"/>
    <w:rsid w:val="00851DC8"/>
    <w:rsid w:val="008525F4"/>
    <w:rsid w:val="00852B01"/>
    <w:rsid w:val="008546D3"/>
    <w:rsid w:val="00855E47"/>
    <w:rsid w:val="008638BF"/>
    <w:rsid w:val="008659EC"/>
    <w:rsid w:val="00865F05"/>
    <w:rsid w:val="00870453"/>
    <w:rsid w:val="008718A5"/>
    <w:rsid w:val="008726EF"/>
    <w:rsid w:val="00874C3E"/>
    <w:rsid w:val="0087516C"/>
    <w:rsid w:val="0087673D"/>
    <w:rsid w:val="00880028"/>
    <w:rsid w:val="0088476C"/>
    <w:rsid w:val="008870EF"/>
    <w:rsid w:val="00887DC2"/>
    <w:rsid w:val="008912D1"/>
    <w:rsid w:val="0089164E"/>
    <w:rsid w:val="00894BDA"/>
    <w:rsid w:val="00894D18"/>
    <w:rsid w:val="00895DA5"/>
    <w:rsid w:val="008961F4"/>
    <w:rsid w:val="008A1421"/>
    <w:rsid w:val="008B56DD"/>
    <w:rsid w:val="008B6879"/>
    <w:rsid w:val="008B7168"/>
    <w:rsid w:val="008C0BE5"/>
    <w:rsid w:val="008C1073"/>
    <w:rsid w:val="008C11FC"/>
    <w:rsid w:val="008C25F9"/>
    <w:rsid w:val="008C28B0"/>
    <w:rsid w:val="008C410F"/>
    <w:rsid w:val="008C4598"/>
    <w:rsid w:val="008C47F3"/>
    <w:rsid w:val="008C60CC"/>
    <w:rsid w:val="008C74E7"/>
    <w:rsid w:val="008D0126"/>
    <w:rsid w:val="008D091B"/>
    <w:rsid w:val="008D242B"/>
    <w:rsid w:val="008D26DB"/>
    <w:rsid w:val="008D2AF9"/>
    <w:rsid w:val="008D3E4C"/>
    <w:rsid w:val="008D67D3"/>
    <w:rsid w:val="008E0345"/>
    <w:rsid w:val="008E24F8"/>
    <w:rsid w:val="008E491E"/>
    <w:rsid w:val="008E54DD"/>
    <w:rsid w:val="008F32EE"/>
    <w:rsid w:val="009008D5"/>
    <w:rsid w:val="00901CE1"/>
    <w:rsid w:val="009057C4"/>
    <w:rsid w:val="00906431"/>
    <w:rsid w:val="00914959"/>
    <w:rsid w:val="009155B9"/>
    <w:rsid w:val="009156FD"/>
    <w:rsid w:val="00916D9F"/>
    <w:rsid w:val="00921FF4"/>
    <w:rsid w:val="00930B3F"/>
    <w:rsid w:val="009313B4"/>
    <w:rsid w:val="009367AB"/>
    <w:rsid w:val="009408C9"/>
    <w:rsid w:val="00943081"/>
    <w:rsid w:val="00950A4C"/>
    <w:rsid w:val="0095377C"/>
    <w:rsid w:val="00955546"/>
    <w:rsid w:val="0095637E"/>
    <w:rsid w:val="00960951"/>
    <w:rsid w:val="00960959"/>
    <w:rsid w:val="00960E3A"/>
    <w:rsid w:val="00961E74"/>
    <w:rsid w:val="00964558"/>
    <w:rsid w:val="00965194"/>
    <w:rsid w:val="009664A5"/>
    <w:rsid w:val="00966AA8"/>
    <w:rsid w:val="00971B35"/>
    <w:rsid w:val="00973E91"/>
    <w:rsid w:val="009766E2"/>
    <w:rsid w:val="00977DD5"/>
    <w:rsid w:val="00982CFF"/>
    <w:rsid w:val="00991E20"/>
    <w:rsid w:val="00992D2B"/>
    <w:rsid w:val="00994510"/>
    <w:rsid w:val="00996C40"/>
    <w:rsid w:val="009A0D27"/>
    <w:rsid w:val="009A4635"/>
    <w:rsid w:val="009A59AC"/>
    <w:rsid w:val="009A6BD7"/>
    <w:rsid w:val="009A733A"/>
    <w:rsid w:val="009B141F"/>
    <w:rsid w:val="009B36A7"/>
    <w:rsid w:val="009B3E02"/>
    <w:rsid w:val="009B62A0"/>
    <w:rsid w:val="009B68EE"/>
    <w:rsid w:val="009B68FE"/>
    <w:rsid w:val="009C0135"/>
    <w:rsid w:val="009C57DE"/>
    <w:rsid w:val="009C6308"/>
    <w:rsid w:val="009D028C"/>
    <w:rsid w:val="009D1766"/>
    <w:rsid w:val="009D20D6"/>
    <w:rsid w:val="009D407E"/>
    <w:rsid w:val="009E10DD"/>
    <w:rsid w:val="009E1EA9"/>
    <w:rsid w:val="009E1FC8"/>
    <w:rsid w:val="009E33F4"/>
    <w:rsid w:val="009E56D6"/>
    <w:rsid w:val="009E6C79"/>
    <w:rsid w:val="009E7717"/>
    <w:rsid w:val="009F546B"/>
    <w:rsid w:val="009F7A02"/>
    <w:rsid w:val="00A03F2A"/>
    <w:rsid w:val="00A04DCF"/>
    <w:rsid w:val="00A05B41"/>
    <w:rsid w:val="00A06736"/>
    <w:rsid w:val="00A11D21"/>
    <w:rsid w:val="00A11D61"/>
    <w:rsid w:val="00A13B12"/>
    <w:rsid w:val="00A15882"/>
    <w:rsid w:val="00A15E3E"/>
    <w:rsid w:val="00A15F1C"/>
    <w:rsid w:val="00A16A80"/>
    <w:rsid w:val="00A20F9E"/>
    <w:rsid w:val="00A21466"/>
    <w:rsid w:val="00A21868"/>
    <w:rsid w:val="00A2707D"/>
    <w:rsid w:val="00A27472"/>
    <w:rsid w:val="00A3165B"/>
    <w:rsid w:val="00A3195E"/>
    <w:rsid w:val="00A32236"/>
    <w:rsid w:val="00A3544E"/>
    <w:rsid w:val="00A4027F"/>
    <w:rsid w:val="00A41597"/>
    <w:rsid w:val="00A447B6"/>
    <w:rsid w:val="00A469D1"/>
    <w:rsid w:val="00A471F7"/>
    <w:rsid w:val="00A50BFD"/>
    <w:rsid w:val="00A519C3"/>
    <w:rsid w:val="00A533A2"/>
    <w:rsid w:val="00A578B0"/>
    <w:rsid w:val="00A57F64"/>
    <w:rsid w:val="00A63002"/>
    <w:rsid w:val="00A6335E"/>
    <w:rsid w:val="00A6470B"/>
    <w:rsid w:val="00A6660B"/>
    <w:rsid w:val="00A6707A"/>
    <w:rsid w:val="00A7118A"/>
    <w:rsid w:val="00A72C23"/>
    <w:rsid w:val="00A72D20"/>
    <w:rsid w:val="00A8128B"/>
    <w:rsid w:val="00A82A14"/>
    <w:rsid w:val="00A82CFA"/>
    <w:rsid w:val="00A83C12"/>
    <w:rsid w:val="00A907E0"/>
    <w:rsid w:val="00A91302"/>
    <w:rsid w:val="00A92E7C"/>
    <w:rsid w:val="00AA1FA9"/>
    <w:rsid w:val="00AA3C89"/>
    <w:rsid w:val="00AA3F42"/>
    <w:rsid w:val="00AA3F68"/>
    <w:rsid w:val="00AA6ABE"/>
    <w:rsid w:val="00AB0C93"/>
    <w:rsid w:val="00AB2776"/>
    <w:rsid w:val="00AB5EBB"/>
    <w:rsid w:val="00AB6D83"/>
    <w:rsid w:val="00AC3A8A"/>
    <w:rsid w:val="00AC3F24"/>
    <w:rsid w:val="00AC5672"/>
    <w:rsid w:val="00AC6681"/>
    <w:rsid w:val="00AC696D"/>
    <w:rsid w:val="00AD248A"/>
    <w:rsid w:val="00AD773D"/>
    <w:rsid w:val="00AD7C2E"/>
    <w:rsid w:val="00AE10A9"/>
    <w:rsid w:val="00AE4D7B"/>
    <w:rsid w:val="00AF0459"/>
    <w:rsid w:val="00AF0D05"/>
    <w:rsid w:val="00AF0FC9"/>
    <w:rsid w:val="00AF64D3"/>
    <w:rsid w:val="00AF65DB"/>
    <w:rsid w:val="00B03876"/>
    <w:rsid w:val="00B06434"/>
    <w:rsid w:val="00B07997"/>
    <w:rsid w:val="00B15DF9"/>
    <w:rsid w:val="00B1748A"/>
    <w:rsid w:val="00B176E5"/>
    <w:rsid w:val="00B17D81"/>
    <w:rsid w:val="00B22F81"/>
    <w:rsid w:val="00B2471A"/>
    <w:rsid w:val="00B25FE4"/>
    <w:rsid w:val="00B2613B"/>
    <w:rsid w:val="00B3016B"/>
    <w:rsid w:val="00B30297"/>
    <w:rsid w:val="00B31875"/>
    <w:rsid w:val="00B31C30"/>
    <w:rsid w:val="00B31E39"/>
    <w:rsid w:val="00B32520"/>
    <w:rsid w:val="00B331CF"/>
    <w:rsid w:val="00B34C4C"/>
    <w:rsid w:val="00B35E7B"/>
    <w:rsid w:val="00B3765D"/>
    <w:rsid w:val="00B409D6"/>
    <w:rsid w:val="00B426C8"/>
    <w:rsid w:val="00B434BF"/>
    <w:rsid w:val="00B44C6D"/>
    <w:rsid w:val="00B5743A"/>
    <w:rsid w:val="00B64891"/>
    <w:rsid w:val="00B655B9"/>
    <w:rsid w:val="00B70C8C"/>
    <w:rsid w:val="00B713CF"/>
    <w:rsid w:val="00B71FB2"/>
    <w:rsid w:val="00B721DD"/>
    <w:rsid w:val="00B726D7"/>
    <w:rsid w:val="00B73CEE"/>
    <w:rsid w:val="00B8284D"/>
    <w:rsid w:val="00B83BA3"/>
    <w:rsid w:val="00B86014"/>
    <w:rsid w:val="00B91D1F"/>
    <w:rsid w:val="00B9349B"/>
    <w:rsid w:val="00B939B3"/>
    <w:rsid w:val="00B94827"/>
    <w:rsid w:val="00B94B9F"/>
    <w:rsid w:val="00B95820"/>
    <w:rsid w:val="00BA1E66"/>
    <w:rsid w:val="00BA2317"/>
    <w:rsid w:val="00BA5FD2"/>
    <w:rsid w:val="00BB399C"/>
    <w:rsid w:val="00BB3AEF"/>
    <w:rsid w:val="00BB7669"/>
    <w:rsid w:val="00BC166B"/>
    <w:rsid w:val="00BC6A52"/>
    <w:rsid w:val="00BD1146"/>
    <w:rsid w:val="00BD208E"/>
    <w:rsid w:val="00BD23EC"/>
    <w:rsid w:val="00BD47F3"/>
    <w:rsid w:val="00BD5A62"/>
    <w:rsid w:val="00BD71BA"/>
    <w:rsid w:val="00BE4853"/>
    <w:rsid w:val="00BE48DC"/>
    <w:rsid w:val="00BE67EB"/>
    <w:rsid w:val="00BE7523"/>
    <w:rsid w:val="00BE7CCA"/>
    <w:rsid w:val="00BF0DE0"/>
    <w:rsid w:val="00BF1633"/>
    <w:rsid w:val="00BF1E34"/>
    <w:rsid w:val="00BF4051"/>
    <w:rsid w:val="00BF49C6"/>
    <w:rsid w:val="00BF7AE9"/>
    <w:rsid w:val="00C03A96"/>
    <w:rsid w:val="00C06E4A"/>
    <w:rsid w:val="00C07874"/>
    <w:rsid w:val="00C1115F"/>
    <w:rsid w:val="00C11CFD"/>
    <w:rsid w:val="00C13594"/>
    <w:rsid w:val="00C13616"/>
    <w:rsid w:val="00C14DF1"/>
    <w:rsid w:val="00C22175"/>
    <w:rsid w:val="00C23B25"/>
    <w:rsid w:val="00C24956"/>
    <w:rsid w:val="00C26759"/>
    <w:rsid w:val="00C2760D"/>
    <w:rsid w:val="00C30043"/>
    <w:rsid w:val="00C3031B"/>
    <w:rsid w:val="00C314AE"/>
    <w:rsid w:val="00C324E6"/>
    <w:rsid w:val="00C32A51"/>
    <w:rsid w:val="00C35853"/>
    <w:rsid w:val="00C35EEC"/>
    <w:rsid w:val="00C40D0D"/>
    <w:rsid w:val="00C4381F"/>
    <w:rsid w:val="00C44E04"/>
    <w:rsid w:val="00C4694E"/>
    <w:rsid w:val="00C46AA0"/>
    <w:rsid w:val="00C46DD9"/>
    <w:rsid w:val="00C47E4D"/>
    <w:rsid w:val="00C50EE3"/>
    <w:rsid w:val="00C53CF4"/>
    <w:rsid w:val="00C578E6"/>
    <w:rsid w:val="00C60E0B"/>
    <w:rsid w:val="00C62EE8"/>
    <w:rsid w:val="00C634D3"/>
    <w:rsid w:val="00C655A7"/>
    <w:rsid w:val="00C65C1D"/>
    <w:rsid w:val="00C664A1"/>
    <w:rsid w:val="00C666B1"/>
    <w:rsid w:val="00C66D97"/>
    <w:rsid w:val="00C67B2C"/>
    <w:rsid w:val="00C75267"/>
    <w:rsid w:val="00C76BF3"/>
    <w:rsid w:val="00C81A10"/>
    <w:rsid w:val="00C85EC6"/>
    <w:rsid w:val="00C8677E"/>
    <w:rsid w:val="00C929E2"/>
    <w:rsid w:val="00C934DD"/>
    <w:rsid w:val="00C95E46"/>
    <w:rsid w:val="00CA4758"/>
    <w:rsid w:val="00CA5949"/>
    <w:rsid w:val="00CA5980"/>
    <w:rsid w:val="00CA6355"/>
    <w:rsid w:val="00CB0B78"/>
    <w:rsid w:val="00CB14F6"/>
    <w:rsid w:val="00CB46AB"/>
    <w:rsid w:val="00CB4C0A"/>
    <w:rsid w:val="00CB5E83"/>
    <w:rsid w:val="00CB72E1"/>
    <w:rsid w:val="00CB7551"/>
    <w:rsid w:val="00CC0C51"/>
    <w:rsid w:val="00CC1F46"/>
    <w:rsid w:val="00CC550D"/>
    <w:rsid w:val="00CD05AE"/>
    <w:rsid w:val="00CD0787"/>
    <w:rsid w:val="00CD1379"/>
    <w:rsid w:val="00CD1E0D"/>
    <w:rsid w:val="00CD32DC"/>
    <w:rsid w:val="00CE16BD"/>
    <w:rsid w:val="00CE3C59"/>
    <w:rsid w:val="00CE603B"/>
    <w:rsid w:val="00CF0519"/>
    <w:rsid w:val="00CF20DA"/>
    <w:rsid w:val="00D01FEC"/>
    <w:rsid w:val="00D031F4"/>
    <w:rsid w:val="00D074CB"/>
    <w:rsid w:val="00D07972"/>
    <w:rsid w:val="00D079D8"/>
    <w:rsid w:val="00D1582E"/>
    <w:rsid w:val="00D2641B"/>
    <w:rsid w:val="00D3012E"/>
    <w:rsid w:val="00D3052D"/>
    <w:rsid w:val="00D31448"/>
    <w:rsid w:val="00D31DEB"/>
    <w:rsid w:val="00D32AD3"/>
    <w:rsid w:val="00D34865"/>
    <w:rsid w:val="00D348B1"/>
    <w:rsid w:val="00D36523"/>
    <w:rsid w:val="00D414A1"/>
    <w:rsid w:val="00D45C36"/>
    <w:rsid w:val="00D466A0"/>
    <w:rsid w:val="00D4771B"/>
    <w:rsid w:val="00D54EC5"/>
    <w:rsid w:val="00D61BA2"/>
    <w:rsid w:val="00D62964"/>
    <w:rsid w:val="00D660CF"/>
    <w:rsid w:val="00D7603D"/>
    <w:rsid w:val="00D766D7"/>
    <w:rsid w:val="00D8232F"/>
    <w:rsid w:val="00D87687"/>
    <w:rsid w:val="00D91210"/>
    <w:rsid w:val="00D92FEC"/>
    <w:rsid w:val="00D93114"/>
    <w:rsid w:val="00D937B4"/>
    <w:rsid w:val="00D96AC2"/>
    <w:rsid w:val="00D96C34"/>
    <w:rsid w:val="00D96E14"/>
    <w:rsid w:val="00DA54EC"/>
    <w:rsid w:val="00DA6974"/>
    <w:rsid w:val="00DA7576"/>
    <w:rsid w:val="00DB2117"/>
    <w:rsid w:val="00DB3D15"/>
    <w:rsid w:val="00DB4DF9"/>
    <w:rsid w:val="00DC342D"/>
    <w:rsid w:val="00DC5136"/>
    <w:rsid w:val="00DC70CF"/>
    <w:rsid w:val="00DD3588"/>
    <w:rsid w:val="00DD61D4"/>
    <w:rsid w:val="00DE2A68"/>
    <w:rsid w:val="00DE6124"/>
    <w:rsid w:val="00DE7BDC"/>
    <w:rsid w:val="00DF00CD"/>
    <w:rsid w:val="00DF0FDD"/>
    <w:rsid w:val="00DF543C"/>
    <w:rsid w:val="00DF7FC0"/>
    <w:rsid w:val="00E04333"/>
    <w:rsid w:val="00E043E3"/>
    <w:rsid w:val="00E04580"/>
    <w:rsid w:val="00E05890"/>
    <w:rsid w:val="00E07B81"/>
    <w:rsid w:val="00E07FD8"/>
    <w:rsid w:val="00E100A7"/>
    <w:rsid w:val="00E1051A"/>
    <w:rsid w:val="00E121C2"/>
    <w:rsid w:val="00E13C40"/>
    <w:rsid w:val="00E14468"/>
    <w:rsid w:val="00E15D38"/>
    <w:rsid w:val="00E21CE4"/>
    <w:rsid w:val="00E24B16"/>
    <w:rsid w:val="00E26317"/>
    <w:rsid w:val="00E263D6"/>
    <w:rsid w:val="00E31677"/>
    <w:rsid w:val="00E3297A"/>
    <w:rsid w:val="00E32E1D"/>
    <w:rsid w:val="00E331E9"/>
    <w:rsid w:val="00E35A3B"/>
    <w:rsid w:val="00E36287"/>
    <w:rsid w:val="00E3737C"/>
    <w:rsid w:val="00E373F6"/>
    <w:rsid w:val="00E467A4"/>
    <w:rsid w:val="00E51C6D"/>
    <w:rsid w:val="00E539D7"/>
    <w:rsid w:val="00E53CE6"/>
    <w:rsid w:val="00E553B3"/>
    <w:rsid w:val="00E602E6"/>
    <w:rsid w:val="00E60D8C"/>
    <w:rsid w:val="00E618ED"/>
    <w:rsid w:val="00E62D6C"/>
    <w:rsid w:val="00E63F17"/>
    <w:rsid w:val="00E640A3"/>
    <w:rsid w:val="00E6599A"/>
    <w:rsid w:val="00E67760"/>
    <w:rsid w:val="00E714BF"/>
    <w:rsid w:val="00E7199A"/>
    <w:rsid w:val="00E72285"/>
    <w:rsid w:val="00E75FD6"/>
    <w:rsid w:val="00E766D1"/>
    <w:rsid w:val="00E76EB6"/>
    <w:rsid w:val="00E8164E"/>
    <w:rsid w:val="00E82203"/>
    <w:rsid w:val="00E84CEA"/>
    <w:rsid w:val="00E867D3"/>
    <w:rsid w:val="00E86CD6"/>
    <w:rsid w:val="00E90EAE"/>
    <w:rsid w:val="00E93067"/>
    <w:rsid w:val="00E9497D"/>
    <w:rsid w:val="00E95EA9"/>
    <w:rsid w:val="00E968B0"/>
    <w:rsid w:val="00E971FC"/>
    <w:rsid w:val="00EA15C5"/>
    <w:rsid w:val="00EA67EE"/>
    <w:rsid w:val="00EA7442"/>
    <w:rsid w:val="00EB03E6"/>
    <w:rsid w:val="00EB272A"/>
    <w:rsid w:val="00EB43AC"/>
    <w:rsid w:val="00EC245C"/>
    <w:rsid w:val="00EC2F72"/>
    <w:rsid w:val="00EC50DB"/>
    <w:rsid w:val="00ED03FF"/>
    <w:rsid w:val="00ED2F4A"/>
    <w:rsid w:val="00ED352F"/>
    <w:rsid w:val="00ED372D"/>
    <w:rsid w:val="00ED39FE"/>
    <w:rsid w:val="00ED3EBD"/>
    <w:rsid w:val="00ED5A37"/>
    <w:rsid w:val="00EE1D01"/>
    <w:rsid w:val="00EE2119"/>
    <w:rsid w:val="00EE7815"/>
    <w:rsid w:val="00EF0C29"/>
    <w:rsid w:val="00EF60A4"/>
    <w:rsid w:val="00EF6D3D"/>
    <w:rsid w:val="00EF7CD8"/>
    <w:rsid w:val="00F06556"/>
    <w:rsid w:val="00F0703E"/>
    <w:rsid w:val="00F103F8"/>
    <w:rsid w:val="00F10A93"/>
    <w:rsid w:val="00F12EE6"/>
    <w:rsid w:val="00F138B2"/>
    <w:rsid w:val="00F145B5"/>
    <w:rsid w:val="00F16C25"/>
    <w:rsid w:val="00F21683"/>
    <w:rsid w:val="00F26888"/>
    <w:rsid w:val="00F350FF"/>
    <w:rsid w:val="00F40586"/>
    <w:rsid w:val="00F415D5"/>
    <w:rsid w:val="00F41C76"/>
    <w:rsid w:val="00F43B28"/>
    <w:rsid w:val="00F47533"/>
    <w:rsid w:val="00F513F2"/>
    <w:rsid w:val="00F518BE"/>
    <w:rsid w:val="00F51A70"/>
    <w:rsid w:val="00F51FAA"/>
    <w:rsid w:val="00F52F44"/>
    <w:rsid w:val="00F53529"/>
    <w:rsid w:val="00F55B3A"/>
    <w:rsid w:val="00F55C04"/>
    <w:rsid w:val="00F64661"/>
    <w:rsid w:val="00F70A0B"/>
    <w:rsid w:val="00F70E70"/>
    <w:rsid w:val="00F71DB1"/>
    <w:rsid w:val="00F738B5"/>
    <w:rsid w:val="00F746CC"/>
    <w:rsid w:val="00F74CE2"/>
    <w:rsid w:val="00F759DD"/>
    <w:rsid w:val="00F8026B"/>
    <w:rsid w:val="00F805B7"/>
    <w:rsid w:val="00F839FD"/>
    <w:rsid w:val="00F907BB"/>
    <w:rsid w:val="00F9117F"/>
    <w:rsid w:val="00FA1F9C"/>
    <w:rsid w:val="00FA3117"/>
    <w:rsid w:val="00FA3568"/>
    <w:rsid w:val="00FB039A"/>
    <w:rsid w:val="00FB25D8"/>
    <w:rsid w:val="00FB33F5"/>
    <w:rsid w:val="00FB542E"/>
    <w:rsid w:val="00FC2074"/>
    <w:rsid w:val="00FC5571"/>
    <w:rsid w:val="00FC7E05"/>
    <w:rsid w:val="00FD009E"/>
    <w:rsid w:val="00FD058F"/>
    <w:rsid w:val="00FD1D51"/>
    <w:rsid w:val="00FD21FB"/>
    <w:rsid w:val="00FD3EE4"/>
    <w:rsid w:val="00FD7A5B"/>
    <w:rsid w:val="00FE2EEE"/>
    <w:rsid w:val="00FE3A83"/>
    <w:rsid w:val="00FE7E48"/>
    <w:rsid w:val="00FF0F4F"/>
    <w:rsid w:val="00FF40B5"/>
    <w:rsid w:val="00FF53EA"/>
    <w:rsid w:val="00FF541C"/>
    <w:rsid w:val="073094A3"/>
    <w:rsid w:val="0C0245FE"/>
    <w:rsid w:val="0CFFB544"/>
    <w:rsid w:val="16449373"/>
    <w:rsid w:val="1BCC05B7"/>
    <w:rsid w:val="1EC696EC"/>
    <w:rsid w:val="25A1B748"/>
    <w:rsid w:val="27E985C5"/>
    <w:rsid w:val="3E85B590"/>
    <w:rsid w:val="4089C76F"/>
    <w:rsid w:val="4D4DF32A"/>
    <w:rsid w:val="55B927FA"/>
    <w:rsid w:val="5A27C244"/>
    <w:rsid w:val="5E0864DF"/>
    <w:rsid w:val="6E6910E4"/>
    <w:rsid w:val="78A00585"/>
    <w:rsid w:val="791C7732"/>
    <w:rsid w:val="7AC24113"/>
    <w:rsid w:val="7CD8D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59C3C"/>
  <w15:chartTrackingRefBased/>
  <w15:docId w15:val="{508943D4-FCD5-47DB-9669-0616D4D20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B17"/>
    <w:pPr>
      <w:spacing w:after="0" w:line="276" w:lineRule="auto"/>
    </w:pPr>
    <w:rPr>
      <w:rFonts w:ascii="Arial" w:eastAsia="Arial" w:hAnsi="Arial" w:cs="Arial"/>
      <w:lang w:val="en"/>
    </w:rPr>
  </w:style>
  <w:style w:type="paragraph" w:styleId="Heading2">
    <w:name w:val="heading 2"/>
    <w:basedOn w:val="Normal"/>
    <w:next w:val="Normal"/>
    <w:link w:val="Heading2Char"/>
    <w:uiPriority w:val="9"/>
    <w:unhideWhenUsed/>
    <w:qFormat/>
    <w:rsid w:val="001E7B17"/>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rsid w:val="001E7B1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E7B17"/>
    <w:rPr>
      <w:rFonts w:ascii="Arial" w:eastAsia="Arial" w:hAnsi="Arial" w:cs="Arial"/>
      <w:sz w:val="32"/>
      <w:szCs w:val="32"/>
      <w:lang w:val="en"/>
    </w:rPr>
  </w:style>
  <w:style w:type="paragraph" w:styleId="Caption">
    <w:name w:val="caption"/>
    <w:basedOn w:val="Normal"/>
    <w:next w:val="BodyText"/>
    <w:link w:val="CaptionChar"/>
    <w:qFormat/>
    <w:rsid w:val="001E7B17"/>
    <w:pPr>
      <w:keepNext/>
      <w:spacing w:before="240" w:after="120" w:line="240" w:lineRule="auto"/>
      <w:ind w:left="90"/>
      <w:jc w:val="center"/>
    </w:pPr>
    <w:rPr>
      <w:rFonts w:ascii="Times New Roman" w:eastAsia="Times New Roman" w:hAnsi="Times New Roman" w:cs="Times New Roman"/>
      <w:b/>
      <w:bCs/>
      <w:i/>
      <w:sz w:val="20"/>
      <w:szCs w:val="20"/>
      <w:lang w:val="en-US"/>
    </w:rPr>
  </w:style>
  <w:style w:type="character" w:customStyle="1" w:styleId="CaptionChar">
    <w:name w:val="Caption Char"/>
    <w:basedOn w:val="DefaultParagraphFont"/>
    <w:link w:val="Caption"/>
    <w:rsid w:val="001E7B17"/>
    <w:rPr>
      <w:rFonts w:ascii="Times New Roman" w:eastAsia="Times New Roman" w:hAnsi="Times New Roman" w:cs="Times New Roman"/>
      <w:b/>
      <w:bCs/>
      <w:i/>
      <w:sz w:val="20"/>
      <w:szCs w:val="20"/>
    </w:rPr>
  </w:style>
  <w:style w:type="paragraph" w:customStyle="1" w:styleId="null">
    <w:name w:val="null"/>
    <w:basedOn w:val="Normal"/>
    <w:rsid w:val="001E7B17"/>
    <w:pPr>
      <w:spacing w:before="100" w:beforeAutospacing="1" w:after="100" w:afterAutospacing="1" w:line="240" w:lineRule="auto"/>
    </w:pPr>
    <w:rPr>
      <w:rFonts w:ascii="Calibri" w:eastAsiaTheme="minorHAnsi" w:hAnsi="Calibri" w:cs="Calibri"/>
      <w:lang w:val="en-US"/>
    </w:rPr>
  </w:style>
  <w:style w:type="paragraph" w:styleId="BodyText">
    <w:name w:val="Body Text"/>
    <w:basedOn w:val="Normal"/>
    <w:link w:val="BodyTextChar"/>
    <w:uiPriority w:val="99"/>
    <w:semiHidden/>
    <w:unhideWhenUsed/>
    <w:rsid w:val="001E7B17"/>
    <w:pPr>
      <w:spacing w:after="120"/>
    </w:pPr>
  </w:style>
  <w:style w:type="character" w:customStyle="1" w:styleId="BodyTextChar">
    <w:name w:val="Body Text Char"/>
    <w:basedOn w:val="DefaultParagraphFont"/>
    <w:link w:val="BodyText"/>
    <w:uiPriority w:val="99"/>
    <w:semiHidden/>
    <w:rsid w:val="001E7B17"/>
    <w:rPr>
      <w:rFonts w:ascii="Arial" w:eastAsia="Arial" w:hAnsi="Arial" w:cs="Arial"/>
      <w:lang w:val="en"/>
    </w:rPr>
  </w:style>
  <w:style w:type="character" w:customStyle="1" w:styleId="Heading3Char">
    <w:name w:val="Heading 3 Char"/>
    <w:basedOn w:val="DefaultParagraphFont"/>
    <w:link w:val="Heading3"/>
    <w:uiPriority w:val="9"/>
    <w:rsid w:val="001E7B17"/>
    <w:rPr>
      <w:rFonts w:asciiTheme="majorHAnsi" w:eastAsiaTheme="majorEastAsia" w:hAnsiTheme="majorHAnsi" w:cstheme="majorBidi"/>
      <w:color w:val="1F3763" w:themeColor="accent1" w:themeShade="7F"/>
      <w:sz w:val="24"/>
      <w:szCs w:val="24"/>
      <w:lang w:val="en"/>
    </w:rPr>
  </w:style>
  <w:style w:type="paragraph" w:customStyle="1" w:styleId="VPH2">
    <w:name w:val="!VP H2"/>
    <w:next w:val="Normal"/>
    <w:qFormat/>
    <w:rsid w:val="001E7B17"/>
    <w:pPr>
      <w:keepNext/>
      <w:widowControl w:val="0"/>
      <w:spacing w:before="120" w:after="0" w:line="240" w:lineRule="auto"/>
      <w:outlineLvl w:val="1"/>
    </w:pPr>
    <w:rPr>
      <w:rFonts w:ascii="Poppins Medium" w:eastAsia="Times New Roman" w:hAnsi="Poppins Medium" w:cs="Times New Roman"/>
      <w:color w:val="000000" w:themeColor="text1"/>
      <w:spacing w:val="-4"/>
      <w:sz w:val="28"/>
      <w:szCs w:val="28"/>
    </w:rPr>
  </w:style>
  <w:style w:type="paragraph" w:styleId="ListParagraph">
    <w:name w:val="List Paragraph"/>
    <w:aliases w:val="Q - List Paragraph"/>
    <w:basedOn w:val="Normal"/>
    <w:link w:val="ListParagraphChar"/>
    <w:uiPriority w:val="34"/>
    <w:qFormat/>
    <w:rsid w:val="001E7B17"/>
    <w:pPr>
      <w:spacing w:before="120" w:after="120" w:line="240" w:lineRule="auto"/>
      <w:ind w:left="720"/>
      <w:contextualSpacing/>
    </w:pPr>
    <w:rPr>
      <w:rFonts w:ascii="Times New Roman" w:eastAsia="Times New Roman" w:hAnsi="Times New Roman" w:cs="Times New Roman"/>
      <w:lang w:val="en-US"/>
    </w:rPr>
  </w:style>
  <w:style w:type="paragraph" w:customStyle="1" w:styleId="LRWLBodyText">
    <w:name w:val="LRWL Body Text"/>
    <w:basedOn w:val="Normal"/>
    <w:link w:val="LRWLBodyTextChar"/>
    <w:qFormat/>
    <w:rsid w:val="001E7B17"/>
    <w:pPr>
      <w:spacing w:before="120" w:after="120" w:line="240" w:lineRule="auto"/>
    </w:pPr>
    <w:rPr>
      <w:rFonts w:eastAsia="Times New Roman" w:cs="Times New Roman"/>
      <w:lang w:val="en-US"/>
    </w:rPr>
  </w:style>
  <w:style w:type="character" w:customStyle="1" w:styleId="LRWLBodyTextChar">
    <w:name w:val="LRWL Body Text Char"/>
    <w:basedOn w:val="DefaultParagraphFont"/>
    <w:link w:val="LRWLBodyText"/>
    <w:rsid w:val="001E7B17"/>
    <w:rPr>
      <w:rFonts w:ascii="Arial" w:eastAsia="Times New Roman" w:hAnsi="Arial" w:cs="Times New Roman"/>
    </w:rPr>
  </w:style>
  <w:style w:type="paragraph" w:styleId="Header">
    <w:name w:val="header"/>
    <w:basedOn w:val="Normal"/>
    <w:link w:val="HeaderChar"/>
    <w:uiPriority w:val="99"/>
    <w:unhideWhenUsed/>
    <w:rsid w:val="000829CB"/>
    <w:pPr>
      <w:tabs>
        <w:tab w:val="center" w:pos="4680"/>
        <w:tab w:val="right" w:pos="9360"/>
      </w:tabs>
      <w:spacing w:line="240" w:lineRule="auto"/>
    </w:pPr>
  </w:style>
  <w:style w:type="character" w:customStyle="1" w:styleId="HeaderChar">
    <w:name w:val="Header Char"/>
    <w:basedOn w:val="DefaultParagraphFont"/>
    <w:link w:val="Header"/>
    <w:uiPriority w:val="99"/>
    <w:rsid w:val="000829CB"/>
    <w:rPr>
      <w:rFonts w:ascii="Arial" w:eastAsia="Arial" w:hAnsi="Arial" w:cs="Arial"/>
      <w:lang w:val="en"/>
    </w:rPr>
  </w:style>
  <w:style w:type="paragraph" w:styleId="Footer">
    <w:name w:val="footer"/>
    <w:basedOn w:val="Normal"/>
    <w:link w:val="FooterChar"/>
    <w:uiPriority w:val="99"/>
    <w:unhideWhenUsed/>
    <w:rsid w:val="000829CB"/>
    <w:pPr>
      <w:tabs>
        <w:tab w:val="center" w:pos="4680"/>
        <w:tab w:val="right" w:pos="9360"/>
      </w:tabs>
      <w:spacing w:line="240" w:lineRule="auto"/>
    </w:pPr>
  </w:style>
  <w:style w:type="character" w:customStyle="1" w:styleId="FooterChar">
    <w:name w:val="Footer Char"/>
    <w:basedOn w:val="DefaultParagraphFont"/>
    <w:link w:val="Footer"/>
    <w:uiPriority w:val="99"/>
    <w:rsid w:val="000829CB"/>
    <w:rPr>
      <w:rFonts w:ascii="Arial" w:eastAsia="Arial" w:hAnsi="Arial" w:cs="Arial"/>
      <w:lang w:val="en"/>
    </w:rPr>
  </w:style>
  <w:style w:type="character" w:styleId="Hyperlink">
    <w:name w:val="Hyperlink"/>
    <w:basedOn w:val="DefaultParagraphFont"/>
    <w:uiPriority w:val="99"/>
    <w:unhideWhenUsed/>
    <w:rsid w:val="00790BFD"/>
    <w:rPr>
      <w:color w:val="0563C1" w:themeColor="hyperlink"/>
      <w:u w:val="single"/>
    </w:rPr>
  </w:style>
  <w:style w:type="character" w:styleId="CommentReference">
    <w:name w:val="annotation reference"/>
    <w:basedOn w:val="DefaultParagraphFont"/>
    <w:uiPriority w:val="99"/>
    <w:semiHidden/>
    <w:unhideWhenUsed/>
    <w:rsid w:val="00960951"/>
    <w:rPr>
      <w:sz w:val="16"/>
      <w:szCs w:val="16"/>
    </w:rPr>
  </w:style>
  <w:style w:type="paragraph" w:styleId="CommentText">
    <w:name w:val="annotation text"/>
    <w:basedOn w:val="Normal"/>
    <w:link w:val="CommentTextChar"/>
    <w:uiPriority w:val="99"/>
    <w:unhideWhenUsed/>
    <w:rsid w:val="00960951"/>
    <w:pPr>
      <w:spacing w:line="240" w:lineRule="auto"/>
    </w:pPr>
    <w:rPr>
      <w:sz w:val="20"/>
      <w:szCs w:val="20"/>
    </w:rPr>
  </w:style>
  <w:style w:type="character" w:customStyle="1" w:styleId="CommentTextChar">
    <w:name w:val="Comment Text Char"/>
    <w:basedOn w:val="DefaultParagraphFont"/>
    <w:link w:val="CommentText"/>
    <w:uiPriority w:val="99"/>
    <w:rsid w:val="00960951"/>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960951"/>
    <w:rPr>
      <w:b/>
      <w:bCs/>
    </w:rPr>
  </w:style>
  <w:style w:type="character" w:customStyle="1" w:styleId="CommentSubjectChar">
    <w:name w:val="Comment Subject Char"/>
    <w:basedOn w:val="CommentTextChar"/>
    <w:link w:val="CommentSubject"/>
    <w:uiPriority w:val="99"/>
    <w:semiHidden/>
    <w:rsid w:val="00960951"/>
    <w:rPr>
      <w:rFonts w:ascii="Arial" w:eastAsia="Arial" w:hAnsi="Arial" w:cs="Arial"/>
      <w:b/>
      <w:bCs/>
      <w:sz w:val="20"/>
      <w:szCs w:val="20"/>
      <w:lang w:val="en"/>
    </w:rPr>
  </w:style>
  <w:style w:type="character" w:styleId="UnresolvedMention">
    <w:name w:val="Unresolved Mention"/>
    <w:basedOn w:val="DefaultParagraphFont"/>
    <w:uiPriority w:val="99"/>
    <w:unhideWhenUsed/>
    <w:rsid w:val="00960951"/>
    <w:rPr>
      <w:color w:val="605E5C"/>
      <w:shd w:val="clear" w:color="auto" w:fill="E1DFDD"/>
    </w:rPr>
  </w:style>
  <w:style w:type="character" w:styleId="Mention">
    <w:name w:val="Mention"/>
    <w:basedOn w:val="DefaultParagraphFont"/>
    <w:uiPriority w:val="99"/>
    <w:unhideWhenUsed/>
    <w:rsid w:val="00960951"/>
    <w:rPr>
      <w:color w:val="2B579A"/>
      <w:shd w:val="clear" w:color="auto" w:fill="E1DFDD"/>
    </w:rPr>
  </w:style>
  <w:style w:type="character" w:styleId="FollowedHyperlink">
    <w:name w:val="FollowedHyperlink"/>
    <w:basedOn w:val="DefaultParagraphFont"/>
    <w:uiPriority w:val="99"/>
    <w:semiHidden/>
    <w:unhideWhenUsed/>
    <w:rsid w:val="006C31FE"/>
    <w:rPr>
      <w:color w:val="954F72" w:themeColor="followedHyperlink"/>
      <w:u w:val="single"/>
    </w:rPr>
  </w:style>
  <w:style w:type="character" w:customStyle="1" w:styleId="ListParagraphChar">
    <w:name w:val="List Paragraph Char"/>
    <w:aliases w:val="Q - List Paragraph Char"/>
    <w:basedOn w:val="DefaultParagraphFont"/>
    <w:link w:val="ListParagraph"/>
    <w:uiPriority w:val="34"/>
    <w:locked/>
    <w:rsid w:val="008D3E4C"/>
    <w:rPr>
      <w:rFonts w:ascii="Times New Roman" w:eastAsia="Times New Roman" w:hAnsi="Times New Roman" w:cs="Times New Roman"/>
    </w:rPr>
  </w:style>
  <w:style w:type="paragraph" w:styleId="Revision">
    <w:name w:val="Revision"/>
    <w:hidden/>
    <w:uiPriority w:val="99"/>
    <w:semiHidden/>
    <w:rsid w:val="00E84CEA"/>
    <w:pPr>
      <w:spacing w:after="0" w:line="240" w:lineRule="auto"/>
    </w:pPr>
    <w:rPr>
      <w:rFonts w:ascii="Arial" w:eastAsia="Arial" w:hAnsi="Arial" w:cs="Arial"/>
      <w:lang w:val="en"/>
    </w:rPr>
  </w:style>
  <w:style w:type="character" w:customStyle="1" w:styleId="ui-provider">
    <w:name w:val="ui-provider"/>
    <w:basedOn w:val="DefaultParagraphFont"/>
    <w:rsid w:val="00564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236499">
      <w:bodyDiv w:val="1"/>
      <w:marLeft w:val="0"/>
      <w:marRight w:val="0"/>
      <w:marTop w:val="0"/>
      <w:marBottom w:val="0"/>
      <w:divBdr>
        <w:top w:val="none" w:sz="0" w:space="0" w:color="auto"/>
        <w:left w:val="none" w:sz="0" w:space="0" w:color="auto"/>
        <w:bottom w:val="none" w:sz="0" w:space="0" w:color="auto"/>
        <w:right w:val="none" w:sz="0" w:space="0" w:color="auto"/>
      </w:divBdr>
    </w:div>
    <w:div w:id="730926463">
      <w:bodyDiv w:val="1"/>
      <w:marLeft w:val="0"/>
      <w:marRight w:val="0"/>
      <w:marTop w:val="0"/>
      <w:marBottom w:val="0"/>
      <w:divBdr>
        <w:top w:val="none" w:sz="0" w:space="0" w:color="auto"/>
        <w:left w:val="none" w:sz="0" w:space="0" w:color="auto"/>
        <w:bottom w:val="none" w:sz="0" w:space="0" w:color="auto"/>
        <w:right w:val="none" w:sz="0" w:space="0" w:color="auto"/>
      </w:divBdr>
    </w:div>
    <w:div w:id="1096170561">
      <w:bodyDiv w:val="1"/>
      <w:marLeft w:val="0"/>
      <w:marRight w:val="0"/>
      <w:marTop w:val="0"/>
      <w:marBottom w:val="0"/>
      <w:divBdr>
        <w:top w:val="none" w:sz="0" w:space="0" w:color="auto"/>
        <w:left w:val="none" w:sz="0" w:space="0" w:color="auto"/>
        <w:bottom w:val="none" w:sz="0" w:space="0" w:color="auto"/>
        <w:right w:val="none" w:sz="0" w:space="0" w:color="auto"/>
      </w:divBdr>
    </w:div>
    <w:div w:id="1819105743">
      <w:bodyDiv w:val="1"/>
      <w:marLeft w:val="0"/>
      <w:marRight w:val="0"/>
      <w:marTop w:val="0"/>
      <w:marBottom w:val="0"/>
      <w:divBdr>
        <w:top w:val="none" w:sz="0" w:space="0" w:color="auto"/>
        <w:left w:val="none" w:sz="0" w:space="0" w:color="auto"/>
        <w:bottom w:val="none" w:sz="0" w:space="0" w:color="auto"/>
        <w:right w:val="none" w:sz="0" w:space="0" w:color="auto"/>
      </w:divBdr>
    </w:div>
    <w:div w:id="182669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tf.wi.gov/its-your-choice/2024/state-employee-and-retiree-health-plan-supplemental-benefits/health-insurance-retirees-medicare/breakdown-your-costs-medicare-plan-desig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package" Target="embeddings/Microsoft_Excel_Worksheet.xlsx"/><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tf.wi.gov/node/35426%20on%20April%205"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hyperlink" Target="https://secure-web.cisco.com/1ST-XC54OA1hicDXendpHMSIcxruQcflBOOz5kM875uO15uMApcSY5cJEiPbboQ23_47Utq8_TCwQ4vqyYL9Upyp0YM2acREv_edWuucy0_x_B6cNe8KRkZZIjok7r_N8TQoi9KYjbxdZ1ToYcoTPuDKCGrAcJ0-dHTERphC-ccK3iMHMeoQmA57AkZ750Z4aJJmwDFfY-iymD0PM2MP2ckilf0Ew9iQO1XjvcLE7H2dPhTJAcWQjhjOD5tO2Q5PsOCX6vBz7iJgRBhXSEsCq3X5CeFg7NfyVdC_OLQHuYzpg-Bz3mDbvCE36o_ztLL3g/https%3A%2F%2Fshared.outlook.inky.com%2Flink%3Fdomain%3Detf.wi.gov%26t%3Dh.eJxVzE0OwiAQQOGrNKy1_LRY2sToVYCOdiJCA6NdGO-uuHP7XvK92CMHNjVsIVrLxDnQpd2wvaYnXx8uoLeEKRaueqC9ksLwOW0xJDufMAaMcGS7ht0qEaxLeX_BXIh7CAFLiucMhBngV1uf7rwXw0GPxkjtTNfp0Q8OrPBaKqGV6zyXg1TyIHsjWjlUHCpetgUsfUEHEQvZXLF653r_4vsDCpRDeQ.MEYCIQCF46qjXZVv1yVj093Yqfoiw9tiwLC7zQwAflE21aXFYAIhAM4YtzfgIDqPWl4oWG4gKV9pGcIjX68kwmmX2Qj_86Ra"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cs.legis.wisconsin.gov/document/statutes/632.89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0319d51-faf3-4dcb-a288-8f2206f240ed">
      <UserInfo>
        <DisplayName>Heisterkamp, Molly - ETF</DisplayName>
        <AccountId>22</AccountId>
        <AccountType/>
      </UserInfo>
      <UserInfo>
        <DisplayName>Sieg, Tricia - ETF</DisplayName>
        <AccountId>21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39D56AD27A7A4FA7FFDBC1B0490319" ma:contentTypeVersion="4" ma:contentTypeDescription="Create a new document." ma:contentTypeScope="" ma:versionID="a73c0fac0b7847ebc6e3c1eac0647dec">
  <xsd:schema xmlns:xsd="http://www.w3.org/2001/XMLSchema" xmlns:xs="http://www.w3.org/2001/XMLSchema" xmlns:p="http://schemas.microsoft.com/office/2006/metadata/properties" xmlns:ns2="cd03f0c8-8ed3-46e0-8ad1-2ac7f654781c" xmlns:ns3="f0319d51-faf3-4dcb-a288-8f2206f240ed" targetNamespace="http://schemas.microsoft.com/office/2006/metadata/properties" ma:root="true" ma:fieldsID="9506a0f34aa91455ae451c5e010262c1" ns2:_="" ns3:_="">
    <xsd:import namespace="cd03f0c8-8ed3-46e0-8ad1-2ac7f654781c"/>
    <xsd:import namespace="f0319d51-faf3-4dcb-a288-8f2206f240e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3f0c8-8ed3-46e0-8ad1-2ac7f65478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319d51-faf3-4dcb-a288-8f2206f24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C48E48-81EC-443F-8B9F-124728728C37}">
  <ds:schemaRefs>
    <ds:schemaRef ds:uri="http://schemas.microsoft.com/sharepoint/v3/contenttype/forms"/>
  </ds:schemaRefs>
</ds:datastoreItem>
</file>

<file path=customXml/itemProps2.xml><?xml version="1.0" encoding="utf-8"?>
<ds:datastoreItem xmlns:ds="http://schemas.openxmlformats.org/officeDocument/2006/customXml" ds:itemID="{73CDC968-2A80-47F9-8FF3-299B28B3FEB6}">
  <ds:schemaRefs>
    <ds:schemaRef ds:uri="cd03f0c8-8ed3-46e0-8ad1-2ac7f654781c"/>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f0319d51-faf3-4dcb-a288-8f2206f240ed"/>
    <ds:schemaRef ds:uri="http://www.w3.org/XML/1998/namespace"/>
    <ds:schemaRef ds:uri="http://purl.org/dc/elements/1.1/"/>
  </ds:schemaRefs>
</ds:datastoreItem>
</file>

<file path=customXml/itemProps3.xml><?xml version="1.0" encoding="utf-8"?>
<ds:datastoreItem xmlns:ds="http://schemas.openxmlformats.org/officeDocument/2006/customXml" ds:itemID="{C76362E9-6735-4484-AB22-6621456F6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03f0c8-8ed3-46e0-8ad1-2ac7f654781c"/>
    <ds:schemaRef ds:uri="f0319d51-faf3-4dcb-a288-8f2206f24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4966</Words>
  <Characters>28310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33210</CharactersWithSpaces>
  <SharedDoc>false</SharedDoc>
  <HLinks>
    <vt:vector size="18" baseType="variant">
      <vt:variant>
        <vt:i4>3932282</vt:i4>
      </vt:variant>
      <vt:variant>
        <vt:i4>18</vt:i4>
      </vt:variant>
      <vt:variant>
        <vt:i4>0</vt:i4>
      </vt:variant>
      <vt:variant>
        <vt:i4>5</vt:i4>
      </vt:variant>
      <vt:variant>
        <vt:lpwstr>https://etf.wi.gov/boards/groupinsurance/2021/08/18/gib6/direct</vt:lpwstr>
      </vt:variant>
      <vt:variant>
        <vt:lpwstr/>
      </vt:variant>
      <vt:variant>
        <vt:i4>4128863</vt:i4>
      </vt:variant>
      <vt:variant>
        <vt:i4>3</vt:i4>
      </vt:variant>
      <vt:variant>
        <vt:i4>0</vt:i4>
      </vt:variant>
      <vt:variant>
        <vt:i4>5</vt:i4>
      </vt:variant>
      <vt:variant>
        <vt:lpwstr>https://etfonline.wi.gov/etf/internet/RFP/Wellness_2016/index.html</vt:lpwstr>
      </vt:variant>
      <vt:variant>
        <vt:lpwstr/>
      </vt:variant>
      <vt:variant>
        <vt:i4>1310807</vt:i4>
      </vt:variant>
      <vt:variant>
        <vt:i4>0</vt:i4>
      </vt:variant>
      <vt:variant>
        <vt:i4>0</vt:i4>
      </vt:variant>
      <vt:variant>
        <vt:i4>5</vt:i4>
      </vt:variant>
      <vt:variant>
        <vt:lpwstr>https://etf.wi.gov/node/26541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Bucaida, Beth - ETF</dc:creator>
  <cp:keywords/>
  <dc:description/>
  <cp:lastModifiedBy>Bucaida, Beth - ETF</cp:lastModifiedBy>
  <cp:revision>5</cp:revision>
  <dcterms:created xsi:type="dcterms:W3CDTF">2024-04-19T18:26:00Z</dcterms:created>
  <dcterms:modified xsi:type="dcterms:W3CDTF">2024-04-26T20:28:00Z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0x0101000A39D56AD27A7A4FA7FFDBC1B0490319</vt:lpwstr>
  </property>
</Properties>
</file>