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1062" w:type="dxa"/>
        <w:tblLayout w:type="fixed"/>
        <w:tblLook w:val="0000" w:firstRow="0" w:lastRow="0" w:firstColumn="0" w:lastColumn="0" w:noHBand="0" w:noVBand="0"/>
      </w:tblPr>
      <w:tblGrid>
        <w:gridCol w:w="2970"/>
        <w:gridCol w:w="5652"/>
        <w:gridCol w:w="2538"/>
      </w:tblGrid>
      <w:tr w:rsidR="007828B8" w:rsidRPr="007828B8" w14:paraId="31A576F6" w14:textId="77777777" w:rsidTr="007D2090">
        <w:trPr>
          <w:trHeight w:val="1793"/>
        </w:trPr>
        <w:tc>
          <w:tcPr>
            <w:tcW w:w="2970" w:type="dxa"/>
          </w:tcPr>
          <w:p w14:paraId="7F7486AF" w14:textId="59F7C252" w:rsidR="007828B8" w:rsidRPr="007828B8" w:rsidRDefault="007828B8" w:rsidP="007828B8">
            <w:pPr>
              <w:spacing w:line="240" w:lineRule="auto"/>
              <w:rPr>
                <w:rFonts w:eastAsia="Times New Roman" w:cs="Times New Roman"/>
                <w:sz w:val="24"/>
                <w:szCs w:val="24"/>
                <w:lang w:val="en-US"/>
              </w:rPr>
            </w:pPr>
            <w:r w:rsidRPr="007828B8">
              <w:rPr>
                <w:rFonts w:eastAsia="Times New Roman" w:cs="Times New Roman"/>
                <w:noProof/>
                <w:sz w:val="24"/>
                <w:szCs w:val="24"/>
                <w:lang w:val="en-US"/>
              </w:rPr>
              <w:drawing>
                <wp:inline distT="0" distB="0" distL="0" distR="0" wp14:anchorId="751A04EA" wp14:editId="023B690B">
                  <wp:extent cx="1828800" cy="1122680"/>
                  <wp:effectExtent l="0" t="0" r="0" b="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122680"/>
                          </a:xfrm>
                          <a:prstGeom prst="rect">
                            <a:avLst/>
                          </a:prstGeom>
                          <a:noFill/>
                          <a:ln w="9525">
                            <a:noFill/>
                            <a:miter lim="800000"/>
                            <a:headEnd/>
                            <a:tailEnd/>
                          </a:ln>
                        </pic:spPr>
                      </pic:pic>
                    </a:graphicData>
                  </a:graphic>
                </wp:inline>
              </w:drawing>
            </w:r>
          </w:p>
        </w:tc>
        <w:tc>
          <w:tcPr>
            <w:tcW w:w="5652" w:type="dxa"/>
          </w:tcPr>
          <w:p w14:paraId="345FD6FE" w14:textId="77777777" w:rsidR="007828B8" w:rsidRPr="007828B8" w:rsidRDefault="007828B8" w:rsidP="007828B8">
            <w:pPr>
              <w:spacing w:line="240" w:lineRule="auto"/>
              <w:jc w:val="center"/>
              <w:rPr>
                <w:rFonts w:eastAsia="Times New Roman" w:cs="Times New Roman"/>
                <w:b/>
                <w:sz w:val="24"/>
                <w:szCs w:val="24"/>
                <w:lang w:val="en-US"/>
              </w:rPr>
            </w:pPr>
          </w:p>
          <w:p w14:paraId="5BC7AC02" w14:textId="77777777" w:rsidR="007828B8" w:rsidRPr="007828B8" w:rsidRDefault="007828B8" w:rsidP="007828B8">
            <w:pPr>
              <w:spacing w:line="240" w:lineRule="auto"/>
              <w:ind w:right="-108"/>
              <w:rPr>
                <w:rFonts w:eastAsia="Times New Roman" w:cs="Times New Roman"/>
                <w:i/>
                <w:sz w:val="24"/>
                <w:szCs w:val="24"/>
                <w:lang w:val="en-US"/>
              </w:rPr>
            </w:pPr>
            <w:r w:rsidRPr="007828B8">
              <w:rPr>
                <w:rFonts w:eastAsia="Times New Roman" w:cs="Times New Roman"/>
                <w:noProof/>
                <w:sz w:val="24"/>
                <w:szCs w:val="24"/>
                <w:lang w:val="en-US"/>
              </w:rPr>
              <mc:AlternateContent>
                <mc:Choice Requires="wps">
                  <w:drawing>
                    <wp:inline distT="0" distB="0" distL="0" distR="0" wp14:anchorId="3C396AFE" wp14:editId="01CA5B43">
                      <wp:extent cx="3383280" cy="822960"/>
                      <wp:effectExtent l="1905" t="3175" r="0" b="254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3C396AFE" id="_x0000_t202" coordsize="21600,21600" o:spt="202" path="m,l,21600r21600,l21600,xe">
                      <v:stroke joinstyle="miter"/>
                      <v:path gradientshapeok="t" o:connecttype="rect"/>
                    </v:shapetype>
                    <v:shape id="Text Box 7" o:spid="_x0000_s1026" type="#_x0000_t202" style="width:266.4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" stroked="f">
                      <v:textbo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v:textbox>
                      <w10:anchorlock/>
                    </v:shape>
                  </w:pict>
                </mc:Fallback>
              </mc:AlternateContent>
            </w:r>
          </w:p>
        </w:tc>
        <w:tc>
          <w:tcPr>
            <w:tcW w:w="2538" w:type="dxa"/>
            <w:tcBorders>
              <w:left w:val="single" w:sz="18" w:space="0" w:color="auto"/>
            </w:tcBorders>
          </w:tcPr>
          <w:p w14:paraId="161EAB7C" w14:textId="77777777" w:rsidR="007828B8" w:rsidRPr="007828B8" w:rsidRDefault="007828B8" w:rsidP="007828B8">
            <w:pPr>
              <w:spacing w:line="240" w:lineRule="auto"/>
              <w:jc w:val="right"/>
              <w:rPr>
                <w:rFonts w:eastAsia="Times New Roman" w:cs="Times New Roman"/>
                <w:sz w:val="24"/>
                <w:szCs w:val="24"/>
                <w:lang w:val="en-US"/>
              </w:rPr>
            </w:pPr>
            <w:r w:rsidRPr="007828B8">
              <w:rPr>
                <w:rFonts w:eastAsia="Times New Roman" w:cs="Times New Roman"/>
                <w:noProof/>
                <w:sz w:val="24"/>
                <w:szCs w:val="24"/>
                <w:lang w:val="en-US"/>
              </w:rPr>
              <mc:AlternateContent>
                <mc:Choice Requires="wps">
                  <w:drawing>
                    <wp:inline distT="0" distB="0" distL="0" distR="0" wp14:anchorId="4B1BBA4F" wp14:editId="01C73F8C">
                      <wp:extent cx="1371600" cy="109728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wps:txbx>
                            <wps:bodyPr rot="0" vert="horz" wrap="square" lIns="91440" tIns="45720" rIns="91440" bIns="45720" anchor="t" anchorCtr="0" upright="1">
                              <a:noAutofit/>
                            </wps:bodyPr>
                          </wps:wsp>
                        </a:graphicData>
                      </a:graphic>
                    </wp:inline>
                  </w:drawing>
                </mc:Choice>
                <mc:Fallback>
                  <w:pict>
                    <v:shape w14:anchorId="4B1BBA4F" id="Text Box 6"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" stroked="f">
                      <v:textbo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v:textbox>
                      <w10:anchorlock/>
                    </v:shape>
                  </w:pict>
                </mc:Fallback>
              </mc:AlternateContent>
            </w:r>
          </w:p>
        </w:tc>
      </w:tr>
    </w:tbl>
    <w:p w14:paraId="33D176B6" w14:textId="77777777" w:rsidR="007828B8" w:rsidRPr="007828B8" w:rsidRDefault="007828B8" w:rsidP="007828B8">
      <w:pPr>
        <w:spacing w:line="240" w:lineRule="auto"/>
        <w:rPr>
          <w:rFonts w:eastAsia="Times New Roman" w:cs="Times New Roman"/>
          <w:lang w:val="en-US"/>
        </w:rPr>
      </w:pPr>
    </w:p>
    <w:p w14:paraId="05C3F891" w14:textId="14DDAB86" w:rsidR="007828B8" w:rsidRPr="000E012E" w:rsidRDefault="007828B8" w:rsidP="000E012E">
      <w:pPr>
        <w:spacing w:line="240" w:lineRule="auto"/>
        <w:ind w:left="720" w:hanging="720"/>
        <w:rPr>
          <w:rFonts w:eastAsia="Times New Roman"/>
          <w:lang w:val="en-US"/>
        </w:rPr>
      </w:pPr>
      <w:r w:rsidRPr="000E012E">
        <w:rPr>
          <w:rFonts w:eastAsia="Times New Roman"/>
          <w:lang w:val="en-US"/>
        </w:rPr>
        <w:t>Date:</w:t>
      </w:r>
      <w:r w:rsidRPr="000E012E">
        <w:rPr>
          <w:rFonts w:eastAsia="Times New Roman"/>
          <w:lang w:val="en-US"/>
        </w:rPr>
        <w:tab/>
      </w:r>
      <w:r w:rsidR="000E012E" w:rsidRPr="000E012E">
        <w:rPr>
          <w:rFonts w:eastAsia="Times New Roman"/>
          <w:lang w:val="en-US"/>
        </w:rPr>
        <w:t>June 2</w:t>
      </w:r>
      <w:r w:rsidR="009F6BA4">
        <w:rPr>
          <w:rFonts w:eastAsia="Times New Roman"/>
          <w:lang w:val="en-US"/>
        </w:rPr>
        <w:t>5</w:t>
      </w:r>
      <w:r w:rsidR="0000140D" w:rsidRPr="000E012E">
        <w:rPr>
          <w:rFonts w:eastAsia="Times New Roman"/>
          <w:lang w:val="en-US"/>
        </w:rPr>
        <w:t xml:space="preserve">, </w:t>
      </w:r>
      <w:r w:rsidRPr="000E012E">
        <w:rPr>
          <w:rFonts w:eastAsia="Times New Roman"/>
          <w:lang w:val="en-US"/>
        </w:rPr>
        <w:t>202</w:t>
      </w:r>
      <w:r w:rsidR="007319F4" w:rsidRPr="000E012E">
        <w:rPr>
          <w:rFonts w:eastAsia="Times New Roman"/>
          <w:lang w:val="en-US"/>
        </w:rPr>
        <w:t>4</w:t>
      </w:r>
    </w:p>
    <w:p w14:paraId="4A237AFD" w14:textId="77777777" w:rsidR="007828B8" w:rsidRPr="000E012E" w:rsidRDefault="007828B8" w:rsidP="000E012E">
      <w:pPr>
        <w:spacing w:line="240" w:lineRule="auto"/>
        <w:ind w:left="720" w:hanging="720"/>
        <w:rPr>
          <w:rFonts w:eastAsia="Times New Roman"/>
          <w:lang w:val="en-US"/>
        </w:rPr>
      </w:pPr>
    </w:p>
    <w:p w14:paraId="4E320B1C" w14:textId="17F814FC" w:rsidR="007828B8" w:rsidRPr="000E012E" w:rsidRDefault="007828B8" w:rsidP="000E012E">
      <w:pPr>
        <w:spacing w:line="240" w:lineRule="auto"/>
        <w:ind w:left="720" w:hanging="720"/>
        <w:rPr>
          <w:rFonts w:eastAsia="Times New Roman"/>
          <w:lang w:val="en-US"/>
        </w:rPr>
      </w:pPr>
      <w:r w:rsidRPr="000E012E">
        <w:rPr>
          <w:rFonts w:eastAsia="Times New Roman"/>
          <w:lang w:val="en-US"/>
        </w:rPr>
        <w:t>To:</w:t>
      </w:r>
      <w:r w:rsidRPr="000E012E">
        <w:rPr>
          <w:rFonts w:eastAsia="Times New Roman"/>
          <w:lang w:val="en-US"/>
        </w:rPr>
        <w:tab/>
      </w:r>
      <w:r w:rsidR="002D7F3B" w:rsidRPr="000E012E">
        <w:rPr>
          <w:rFonts w:eastAsia="Times New Roman"/>
          <w:lang w:val="en-US"/>
        </w:rPr>
        <w:t xml:space="preserve">Potential </w:t>
      </w:r>
      <w:r w:rsidRPr="000E012E">
        <w:rPr>
          <w:rFonts w:eastAsia="Times New Roman"/>
          <w:lang w:val="en-US"/>
        </w:rPr>
        <w:t>Proposers to RFP</w:t>
      </w:r>
      <w:r w:rsidR="001F3DE6" w:rsidRPr="000E012E">
        <w:rPr>
          <w:rFonts w:eastAsia="Times New Roman"/>
          <w:lang w:val="en-US"/>
        </w:rPr>
        <w:t>s</w:t>
      </w:r>
      <w:r w:rsidRPr="000E012E">
        <w:rPr>
          <w:rFonts w:eastAsia="Times New Roman"/>
          <w:lang w:val="en-US"/>
        </w:rPr>
        <w:t xml:space="preserve"> ET</w:t>
      </w:r>
      <w:r w:rsidR="007319F4" w:rsidRPr="000E012E">
        <w:rPr>
          <w:rFonts w:eastAsia="Times New Roman"/>
          <w:lang w:val="en-US"/>
        </w:rPr>
        <w:t>D005</w:t>
      </w:r>
      <w:r w:rsidR="004174CA" w:rsidRPr="000E012E">
        <w:rPr>
          <w:rFonts w:eastAsia="Times New Roman"/>
          <w:lang w:val="en-US"/>
        </w:rPr>
        <w:t>2</w:t>
      </w:r>
      <w:r w:rsidR="007319F4" w:rsidRPr="000E012E">
        <w:rPr>
          <w:rFonts w:eastAsia="Times New Roman"/>
          <w:lang w:val="en-US"/>
        </w:rPr>
        <w:t>-5</w:t>
      </w:r>
      <w:r w:rsidR="004174CA" w:rsidRPr="000E012E">
        <w:rPr>
          <w:rFonts w:eastAsia="Times New Roman"/>
          <w:lang w:val="en-US"/>
        </w:rPr>
        <w:t>3</w:t>
      </w:r>
      <w:r w:rsidRPr="000E012E">
        <w:rPr>
          <w:rFonts w:eastAsia="Times New Roman"/>
          <w:lang w:val="en-US"/>
        </w:rPr>
        <w:t xml:space="preserve"> </w:t>
      </w:r>
    </w:p>
    <w:p w14:paraId="70E10AC9" w14:textId="77777777" w:rsidR="007828B8" w:rsidRPr="000E012E" w:rsidRDefault="007828B8" w:rsidP="000E012E">
      <w:pPr>
        <w:spacing w:line="240" w:lineRule="auto"/>
        <w:ind w:left="720" w:hanging="720"/>
        <w:rPr>
          <w:rFonts w:eastAsia="Times New Roman"/>
          <w:lang w:val="en-US"/>
        </w:rPr>
      </w:pPr>
    </w:p>
    <w:p w14:paraId="17112BA3" w14:textId="63459841" w:rsidR="007828B8" w:rsidRPr="000E012E" w:rsidRDefault="007828B8" w:rsidP="000E012E">
      <w:pPr>
        <w:spacing w:line="240" w:lineRule="auto"/>
        <w:ind w:left="720" w:hanging="720"/>
        <w:rPr>
          <w:rFonts w:eastAsia="Times New Roman"/>
          <w:lang w:val="en-US"/>
        </w:rPr>
      </w:pPr>
      <w:r w:rsidRPr="000E012E">
        <w:rPr>
          <w:rFonts w:eastAsia="Times New Roman"/>
          <w:lang w:val="en-US"/>
        </w:rPr>
        <w:t>RE:</w:t>
      </w:r>
      <w:r w:rsidRPr="000E012E">
        <w:rPr>
          <w:rFonts w:eastAsia="Times New Roman"/>
          <w:lang w:val="en-US"/>
        </w:rPr>
        <w:tab/>
      </w:r>
      <w:r w:rsidR="002829D3" w:rsidRPr="000E012E">
        <w:rPr>
          <w:rFonts w:eastAsia="Times New Roman"/>
          <w:lang w:val="en-US"/>
        </w:rPr>
        <w:t>Addendum</w:t>
      </w:r>
      <w:r w:rsidRPr="000E012E">
        <w:rPr>
          <w:rFonts w:eastAsia="Times New Roman"/>
          <w:lang w:val="en-US"/>
        </w:rPr>
        <w:t xml:space="preserve"> No. </w:t>
      </w:r>
      <w:r w:rsidR="000E012E" w:rsidRPr="000E012E">
        <w:rPr>
          <w:rFonts w:eastAsia="Times New Roman"/>
          <w:lang w:val="en-US"/>
        </w:rPr>
        <w:t>2</w:t>
      </w:r>
      <w:r w:rsidR="002829D3" w:rsidRPr="000E012E">
        <w:rPr>
          <w:rFonts w:eastAsia="Times New Roman"/>
          <w:lang w:val="en-US"/>
        </w:rPr>
        <w:t xml:space="preserve"> to </w:t>
      </w:r>
      <w:r w:rsidRPr="000E012E">
        <w:rPr>
          <w:rFonts w:eastAsia="Times New Roman"/>
          <w:lang w:val="en-US"/>
        </w:rPr>
        <w:t>Request</w:t>
      </w:r>
      <w:r w:rsidR="00E07EDE">
        <w:rPr>
          <w:rFonts w:eastAsia="Times New Roman"/>
          <w:lang w:val="en-US"/>
        </w:rPr>
        <w:t>s</w:t>
      </w:r>
      <w:r w:rsidRPr="000E012E">
        <w:rPr>
          <w:rFonts w:eastAsia="Times New Roman"/>
          <w:lang w:val="en-US"/>
        </w:rPr>
        <w:t xml:space="preserve"> for Proposals (RFP</w:t>
      </w:r>
      <w:r w:rsidR="001F3DE6" w:rsidRPr="000E012E">
        <w:rPr>
          <w:rFonts w:eastAsia="Times New Roman"/>
          <w:lang w:val="en-US"/>
        </w:rPr>
        <w:t>s</w:t>
      </w:r>
      <w:r w:rsidRPr="000E012E">
        <w:rPr>
          <w:rFonts w:eastAsia="Times New Roman"/>
          <w:lang w:val="en-US"/>
        </w:rPr>
        <w:t>) ET</w:t>
      </w:r>
      <w:r w:rsidR="007319F4" w:rsidRPr="000E012E">
        <w:rPr>
          <w:rFonts w:eastAsia="Times New Roman"/>
          <w:lang w:val="en-US"/>
        </w:rPr>
        <w:t>D005</w:t>
      </w:r>
      <w:r w:rsidR="004174CA" w:rsidRPr="000E012E">
        <w:rPr>
          <w:rFonts w:eastAsia="Times New Roman"/>
          <w:lang w:val="en-US"/>
        </w:rPr>
        <w:t>2</w:t>
      </w:r>
      <w:r w:rsidR="007319F4" w:rsidRPr="000E012E">
        <w:rPr>
          <w:rFonts w:eastAsia="Times New Roman"/>
          <w:lang w:val="en-US"/>
        </w:rPr>
        <w:t>-5</w:t>
      </w:r>
      <w:r w:rsidR="004174CA" w:rsidRPr="000E012E">
        <w:rPr>
          <w:rFonts w:eastAsia="Times New Roman"/>
          <w:lang w:val="en-US"/>
        </w:rPr>
        <w:t>3</w:t>
      </w:r>
    </w:p>
    <w:p w14:paraId="37F696EC" w14:textId="1DBF4608" w:rsidR="008054D4" w:rsidRPr="000E012E" w:rsidRDefault="008054D4" w:rsidP="000E012E">
      <w:pPr>
        <w:pStyle w:val="ListParagraph"/>
        <w:numPr>
          <w:ilvl w:val="0"/>
          <w:numId w:val="20"/>
        </w:numPr>
        <w:spacing w:before="0" w:after="0"/>
        <w:ind w:left="1080"/>
        <w:rPr>
          <w:rFonts w:ascii="Arial" w:hAnsi="Arial" w:cs="Arial"/>
        </w:rPr>
      </w:pPr>
      <w:r w:rsidRPr="000E012E">
        <w:rPr>
          <w:rFonts w:ascii="Arial" w:hAnsi="Arial" w:cs="Arial"/>
        </w:rPr>
        <w:t>Third Party Administration of the Health Savings Account Benefit Program</w:t>
      </w:r>
      <w:r w:rsidR="00683DF7" w:rsidRPr="000E012E">
        <w:rPr>
          <w:rFonts w:ascii="Arial" w:hAnsi="Arial" w:cs="Arial"/>
        </w:rPr>
        <w:t xml:space="preserve"> </w:t>
      </w:r>
    </w:p>
    <w:p w14:paraId="0669CD9F" w14:textId="63BC38A1" w:rsidR="00564223" w:rsidRPr="000E012E" w:rsidRDefault="008054D4" w:rsidP="000E012E">
      <w:pPr>
        <w:pStyle w:val="ListParagraph"/>
        <w:numPr>
          <w:ilvl w:val="0"/>
          <w:numId w:val="20"/>
        </w:numPr>
        <w:spacing w:before="0" w:after="0"/>
        <w:ind w:left="1080"/>
        <w:rPr>
          <w:rFonts w:ascii="Arial" w:hAnsi="Arial" w:cs="Arial"/>
        </w:rPr>
      </w:pPr>
      <w:r w:rsidRPr="000E012E">
        <w:rPr>
          <w:rFonts w:ascii="Arial" w:hAnsi="Arial" w:cs="Arial"/>
        </w:rPr>
        <w:t>Third Party Administration of the Section 125 Cafeteria Plan, Employee Reimbursement Account and Commuter Fringe Benefit Account</w:t>
      </w:r>
      <w:r w:rsidR="000E012E" w:rsidRPr="000E012E">
        <w:rPr>
          <w:rFonts w:ascii="Arial" w:hAnsi="Arial" w:cs="Arial"/>
        </w:rPr>
        <w:t xml:space="preserve"> </w:t>
      </w:r>
      <w:r w:rsidRPr="000E012E">
        <w:rPr>
          <w:rFonts w:ascii="Arial" w:hAnsi="Arial" w:cs="Arial"/>
        </w:rPr>
        <w:t>Progr</w:t>
      </w:r>
      <w:r w:rsidR="00683DF7" w:rsidRPr="000E012E">
        <w:rPr>
          <w:rFonts w:ascii="Arial" w:hAnsi="Arial" w:cs="Arial"/>
        </w:rPr>
        <w:t>ams</w:t>
      </w:r>
      <w:r w:rsidR="007828B8" w:rsidRPr="000E012E">
        <w:rPr>
          <w:rFonts w:ascii="Arial" w:hAnsi="Arial" w:cs="Arial"/>
        </w:rPr>
        <w:t xml:space="preserve"> </w:t>
      </w:r>
    </w:p>
    <w:p w14:paraId="57C064EE" w14:textId="77777777" w:rsidR="007828B8" w:rsidRPr="007828B8" w:rsidRDefault="007828B8" w:rsidP="007828B8">
      <w:pPr>
        <w:spacing w:line="240" w:lineRule="auto"/>
        <w:ind w:left="1440"/>
        <w:rPr>
          <w:rFonts w:eastAsia="Times New Roman"/>
          <w:b/>
          <w:lang w:val="en-US"/>
        </w:rPr>
      </w:pPr>
    </w:p>
    <w:p w14:paraId="0AECE245" w14:textId="39EE502B" w:rsidR="007828B8" w:rsidRPr="007828B8" w:rsidRDefault="007828B8" w:rsidP="007828B8">
      <w:pPr>
        <w:spacing w:line="240" w:lineRule="auto"/>
        <w:rPr>
          <w:rFonts w:eastAsia="Times New Roman"/>
          <w:lang w:val="en-US"/>
        </w:rPr>
      </w:pPr>
      <w:r w:rsidRPr="007828B8">
        <w:rPr>
          <w:rFonts w:eastAsia="Times New Roman"/>
          <w:lang w:val="en-US"/>
        </w:rPr>
        <w:t xml:space="preserve">This Addendum </w:t>
      </w:r>
      <w:r w:rsidR="007A16D2">
        <w:rPr>
          <w:rFonts w:eastAsia="Times New Roman"/>
          <w:lang w:val="en-US"/>
        </w:rPr>
        <w:t>will be made</w:t>
      </w:r>
      <w:r w:rsidRPr="007828B8">
        <w:rPr>
          <w:rFonts w:eastAsia="Times New Roman"/>
          <w:lang w:val="en-US"/>
        </w:rPr>
        <w:t xml:space="preserve"> available on ETF’s web site at</w:t>
      </w:r>
      <w:bookmarkStart w:id="0" w:name="_Hlk160713392"/>
      <w:r w:rsidR="007319F4" w:rsidRPr="00683DF7">
        <w:fldChar w:fldCharType="begin"/>
      </w:r>
      <w:r w:rsidR="007319F4" w:rsidRPr="00683DF7">
        <w:instrText>HYPERLINK "https://etf.wi.gov/node/35426"</w:instrText>
      </w:r>
      <w:r w:rsidR="009F6BA4">
        <w:fldChar w:fldCharType="separate"/>
      </w:r>
      <w:r w:rsidR="007319F4" w:rsidRPr="00683DF7">
        <w:rPr>
          <w:rStyle w:val="Hyperlink"/>
          <w:u w:val="none"/>
        </w:rPr>
        <w:fldChar w:fldCharType="end"/>
      </w:r>
      <w:bookmarkEnd w:id="0"/>
      <w:r w:rsidR="00683DF7" w:rsidRPr="00683DF7">
        <w:rPr>
          <w:rStyle w:val="Hyperlink"/>
          <w:u w:val="none"/>
        </w:rPr>
        <w:t xml:space="preserve"> </w:t>
      </w:r>
      <w:bookmarkStart w:id="1" w:name="OLE_LINK30"/>
      <w:r w:rsidR="00683DF7">
        <w:fldChar w:fldCharType="begin"/>
      </w:r>
      <w:r w:rsidR="00683DF7">
        <w:instrText>HYPERLINK "https://etf.wi.gov/node/35441"</w:instrText>
      </w:r>
      <w:r w:rsidR="00683DF7">
        <w:fldChar w:fldCharType="separate"/>
      </w:r>
      <w:r w:rsidR="00683DF7" w:rsidRPr="00D469D1">
        <w:rPr>
          <w:rStyle w:val="Hyperlink"/>
        </w:rPr>
        <w:t>https://etf.wi.gov/node/35441</w:t>
      </w:r>
      <w:r w:rsidR="00683DF7">
        <w:rPr>
          <w:rStyle w:val="Hyperlink"/>
        </w:rPr>
        <w:fldChar w:fldCharType="end"/>
      </w:r>
      <w:bookmarkEnd w:id="1"/>
      <w:r w:rsidR="007319F4">
        <w:rPr>
          <w:rStyle w:val="Hyperlink"/>
        </w:rPr>
        <w:t xml:space="preserve"> </w:t>
      </w:r>
      <w:r w:rsidRPr="007828B8">
        <w:rPr>
          <w:rFonts w:eastAsia="Times New Roman" w:cs="Times New Roman"/>
          <w:szCs w:val="20"/>
          <w:lang w:val="en-US"/>
        </w:rPr>
        <w:t xml:space="preserve"> </w:t>
      </w:r>
    </w:p>
    <w:p w14:paraId="3CB12272" w14:textId="77777777" w:rsidR="007828B8" w:rsidRPr="007828B8" w:rsidRDefault="007828B8" w:rsidP="007828B8">
      <w:pPr>
        <w:pBdr>
          <w:bottom w:val="single" w:sz="4" w:space="1" w:color="auto"/>
        </w:pBdr>
        <w:spacing w:line="240" w:lineRule="auto"/>
        <w:rPr>
          <w:rFonts w:eastAsia="Times New Roman"/>
          <w:lang w:val="en-US"/>
        </w:rPr>
      </w:pPr>
    </w:p>
    <w:p w14:paraId="72833DC9" w14:textId="77777777" w:rsidR="007828B8" w:rsidRPr="007828B8" w:rsidRDefault="007828B8" w:rsidP="007828B8">
      <w:pPr>
        <w:spacing w:line="240" w:lineRule="auto"/>
        <w:rPr>
          <w:rFonts w:eastAsia="Times New Roman"/>
          <w:b/>
          <w:lang w:val="en-US"/>
        </w:rPr>
      </w:pPr>
    </w:p>
    <w:p w14:paraId="2FE64813" w14:textId="1C619426" w:rsidR="007828B8" w:rsidRPr="007828B8" w:rsidRDefault="007828B8" w:rsidP="007828B8">
      <w:pPr>
        <w:spacing w:line="240" w:lineRule="auto"/>
        <w:rPr>
          <w:rFonts w:eastAsia="Times New Roman"/>
          <w:b/>
          <w:lang w:val="en-US"/>
        </w:rPr>
      </w:pPr>
      <w:r w:rsidRPr="007828B8">
        <w:rPr>
          <w:rFonts w:eastAsia="Times New Roman"/>
          <w:b/>
          <w:lang w:val="en-US"/>
        </w:rPr>
        <w:t xml:space="preserve">Acknowledgement of receipt of this Addendum No. </w:t>
      </w:r>
      <w:r w:rsidR="000E012E">
        <w:rPr>
          <w:rFonts w:eastAsia="Times New Roman"/>
          <w:b/>
          <w:lang w:val="en-US"/>
        </w:rPr>
        <w:t>2</w:t>
      </w:r>
      <w:r w:rsidRPr="007828B8">
        <w:rPr>
          <w:rFonts w:eastAsia="Times New Roman"/>
          <w:b/>
          <w:lang w:val="en-US"/>
        </w:rPr>
        <w:t xml:space="preserve">:  </w:t>
      </w:r>
    </w:p>
    <w:p w14:paraId="3067C4B7" w14:textId="77777777" w:rsidR="007828B8" w:rsidRPr="007828B8" w:rsidRDefault="007828B8" w:rsidP="007828B8">
      <w:pPr>
        <w:spacing w:line="240" w:lineRule="auto"/>
        <w:rPr>
          <w:rFonts w:eastAsia="Times New Roman"/>
          <w:b/>
          <w:lang w:val="en-US"/>
        </w:rPr>
      </w:pPr>
    </w:p>
    <w:p w14:paraId="17F262B8" w14:textId="02F4FE88" w:rsidR="007828B8" w:rsidRPr="007828B8" w:rsidRDefault="007828B8" w:rsidP="007828B8">
      <w:pPr>
        <w:spacing w:line="240" w:lineRule="auto"/>
        <w:rPr>
          <w:rFonts w:eastAsia="Times New Roman"/>
          <w:b/>
          <w:lang w:val="en-US"/>
        </w:rPr>
      </w:pPr>
      <w:r w:rsidRPr="00564223">
        <w:rPr>
          <w:rFonts w:eastAsia="Times New Roman"/>
          <w:b/>
          <w:highlight w:val="yellow"/>
          <w:lang w:val="en-US"/>
        </w:rPr>
        <w:t xml:space="preserve">Proposers must acknowledge receipt of this Addendum by providing the required information in the </w:t>
      </w:r>
      <w:r w:rsidR="000F0F69" w:rsidRPr="00564223">
        <w:rPr>
          <w:rFonts w:eastAsia="Times New Roman"/>
          <w:b/>
          <w:highlight w:val="yellow"/>
          <w:lang w:val="en-US"/>
        </w:rPr>
        <w:t xml:space="preserve">table </w:t>
      </w:r>
      <w:r w:rsidRPr="00564223">
        <w:rPr>
          <w:rFonts w:eastAsia="Times New Roman"/>
          <w:b/>
          <w:highlight w:val="yellow"/>
          <w:lang w:val="en-US"/>
        </w:rPr>
        <w:t xml:space="preserve">below and including this Page 1 </w:t>
      </w:r>
      <w:r w:rsidR="00234CC7" w:rsidRPr="00564223">
        <w:rPr>
          <w:rFonts w:eastAsia="Times New Roman"/>
          <w:b/>
          <w:highlight w:val="yellow"/>
          <w:lang w:val="en-US"/>
        </w:rPr>
        <w:t xml:space="preserve">with </w:t>
      </w:r>
      <w:r w:rsidRPr="00564223">
        <w:rPr>
          <w:rFonts w:eastAsia="Times New Roman"/>
          <w:b/>
          <w:highlight w:val="yellow"/>
          <w:lang w:val="en-US"/>
        </w:rPr>
        <w:t xml:space="preserve">their </w:t>
      </w:r>
      <w:r w:rsidR="007319F4" w:rsidRPr="00564223">
        <w:rPr>
          <w:rFonts w:eastAsia="Times New Roman"/>
          <w:b/>
          <w:highlight w:val="yellow"/>
          <w:lang w:val="en-US"/>
        </w:rPr>
        <w:t>P</w:t>
      </w:r>
      <w:r w:rsidRPr="00564223">
        <w:rPr>
          <w:rFonts w:eastAsia="Times New Roman"/>
          <w:b/>
          <w:highlight w:val="yellow"/>
          <w:lang w:val="en-US"/>
        </w:rPr>
        <w:t>roposal</w:t>
      </w:r>
      <w:r w:rsidR="00234CC7" w:rsidRPr="00564223">
        <w:rPr>
          <w:rFonts w:eastAsia="Times New Roman"/>
          <w:b/>
          <w:highlight w:val="yellow"/>
          <w:lang w:val="en-US"/>
        </w:rPr>
        <w:t xml:space="preserve"> cover letter</w:t>
      </w:r>
      <w:r w:rsidRPr="00564223">
        <w:rPr>
          <w:rFonts w:eastAsia="Times New Roman"/>
          <w:b/>
          <w:highlight w:val="yellow"/>
          <w:lang w:val="en-US"/>
        </w:rPr>
        <w:t>.</w:t>
      </w:r>
      <w:r w:rsidR="007319F4">
        <w:rPr>
          <w:rFonts w:eastAsia="Times New Roman"/>
          <w:b/>
          <w:lang w:val="en-US"/>
        </w:rPr>
        <w:t xml:space="preserve"> </w:t>
      </w:r>
    </w:p>
    <w:tbl>
      <w:tblPr>
        <w:tblpPr w:leftFromText="180" w:rightFromText="180" w:vertAnchor="text" w:horzAnchor="margin" w:tblpY="169"/>
        <w:tblW w:w="933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35"/>
        <w:gridCol w:w="6195"/>
      </w:tblGrid>
      <w:tr w:rsidR="007828B8" w:rsidRPr="007828B8" w14:paraId="5828FF54" w14:textId="77777777" w:rsidTr="007D2090">
        <w:trPr>
          <w:trHeight w:hRule="exact" w:val="483"/>
        </w:trPr>
        <w:tc>
          <w:tcPr>
            <w:tcW w:w="3135" w:type="dxa"/>
            <w:tcBorders>
              <w:left w:val="single" w:sz="12" w:space="0" w:color="auto"/>
              <w:bottom w:val="single" w:sz="4" w:space="0" w:color="auto"/>
              <w:right w:val="single" w:sz="12" w:space="0" w:color="auto"/>
            </w:tcBorders>
          </w:tcPr>
          <w:p w14:paraId="48C1F633" w14:textId="77777777" w:rsidR="007828B8" w:rsidRPr="007828B8" w:rsidRDefault="007828B8" w:rsidP="007828B8">
            <w:pPr>
              <w:spacing w:before="120" w:after="120" w:line="240" w:lineRule="auto"/>
              <w:rPr>
                <w:rFonts w:eastAsia="Times New Roman"/>
                <w:sz w:val="20"/>
                <w:szCs w:val="20"/>
                <w:lang w:val="en-US"/>
              </w:rPr>
            </w:pPr>
            <w:r w:rsidRPr="007828B8">
              <w:rPr>
                <w:rFonts w:eastAsia="Times New Roman"/>
                <w:sz w:val="20"/>
                <w:szCs w:val="20"/>
                <w:lang w:val="en-US"/>
              </w:rPr>
              <w:t>Company Name:</w:t>
            </w:r>
          </w:p>
        </w:tc>
        <w:tc>
          <w:tcPr>
            <w:tcW w:w="6195" w:type="dxa"/>
            <w:tcBorders>
              <w:left w:val="single" w:sz="12" w:space="0" w:color="auto"/>
              <w:bottom w:val="single" w:sz="4" w:space="0" w:color="auto"/>
              <w:right w:val="single" w:sz="12" w:space="0" w:color="auto"/>
            </w:tcBorders>
          </w:tcPr>
          <w:p w14:paraId="540ED5B2" w14:textId="77777777" w:rsidR="007828B8" w:rsidRPr="007828B8" w:rsidRDefault="007828B8" w:rsidP="007828B8">
            <w:pPr>
              <w:spacing w:before="120" w:after="120" w:line="240" w:lineRule="auto"/>
              <w:rPr>
                <w:rFonts w:eastAsia="Times New Roman"/>
                <w:lang w:val="en-US"/>
              </w:rPr>
            </w:pPr>
          </w:p>
        </w:tc>
      </w:tr>
      <w:tr w:rsidR="007828B8" w:rsidRPr="007828B8" w14:paraId="5645D89D" w14:textId="77777777" w:rsidTr="007D2090">
        <w:trPr>
          <w:trHeight w:hRule="exact" w:val="607"/>
        </w:trPr>
        <w:tc>
          <w:tcPr>
            <w:tcW w:w="3135" w:type="dxa"/>
            <w:tcBorders>
              <w:left w:val="single" w:sz="12" w:space="0" w:color="auto"/>
              <w:bottom w:val="single" w:sz="4" w:space="0" w:color="auto"/>
              <w:right w:val="single" w:sz="12" w:space="0" w:color="auto"/>
            </w:tcBorders>
          </w:tcPr>
          <w:p w14:paraId="37D82869" w14:textId="77777777" w:rsidR="007828B8" w:rsidRPr="007828B8" w:rsidRDefault="007828B8" w:rsidP="007828B8">
            <w:pPr>
              <w:spacing w:before="120" w:line="240" w:lineRule="auto"/>
              <w:rPr>
                <w:rFonts w:eastAsia="Times New Roman"/>
                <w:sz w:val="18"/>
                <w:szCs w:val="18"/>
                <w:lang w:val="en-US"/>
              </w:rPr>
            </w:pPr>
            <w:r w:rsidRPr="007828B8">
              <w:rPr>
                <w:rFonts w:eastAsia="Times New Roman"/>
                <w:sz w:val="20"/>
                <w:szCs w:val="20"/>
                <w:lang w:val="en-US"/>
              </w:rPr>
              <w:t xml:space="preserve">Authorized Person </w:t>
            </w:r>
            <w:r w:rsidRPr="007828B8">
              <w:rPr>
                <w:rFonts w:eastAsia="Times New Roman"/>
                <w:sz w:val="18"/>
                <w:szCs w:val="18"/>
                <w:lang w:val="en-US"/>
              </w:rPr>
              <w:t>(Printed/Typed Name and Title):</w:t>
            </w:r>
          </w:p>
          <w:p w14:paraId="7A931763" w14:textId="77777777" w:rsidR="007828B8" w:rsidRPr="007828B8" w:rsidRDefault="007828B8" w:rsidP="007828B8">
            <w:pPr>
              <w:spacing w:before="120" w:after="120" w:line="240" w:lineRule="auto"/>
              <w:rPr>
                <w:rFonts w:eastAsia="Times New Roman"/>
                <w:sz w:val="20"/>
                <w:szCs w:val="20"/>
                <w:lang w:val="en-US"/>
              </w:rPr>
            </w:pPr>
          </w:p>
          <w:p w14:paraId="77F52999" w14:textId="77777777" w:rsidR="007828B8" w:rsidRPr="007828B8" w:rsidRDefault="007828B8" w:rsidP="007828B8">
            <w:pPr>
              <w:spacing w:before="120" w:after="120" w:line="240" w:lineRule="auto"/>
              <w:rPr>
                <w:rFonts w:eastAsia="Times New Roman"/>
                <w:sz w:val="20"/>
                <w:szCs w:val="20"/>
                <w:lang w:val="en-US"/>
              </w:rPr>
            </w:pPr>
          </w:p>
          <w:p w14:paraId="1349BD82" w14:textId="77777777" w:rsidR="007828B8" w:rsidRPr="007828B8" w:rsidRDefault="007828B8" w:rsidP="007828B8">
            <w:pPr>
              <w:spacing w:before="120" w:after="120" w:line="240" w:lineRule="auto"/>
              <w:rPr>
                <w:rFonts w:eastAsia="Times New Roman"/>
                <w:sz w:val="20"/>
                <w:szCs w:val="20"/>
                <w:lang w:val="en-US"/>
              </w:rPr>
            </w:pPr>
          </w:p>
        </w:tc>
        <w:tc>
          <w:tcPr>
            <w:tcW w:w="6195" w:type="dxa"/>
            <w:tcBorders>
              <w:left w:val="single" w:sz="12" w:space="0" w:color="auto"/>
              <w:bottom w:val="single" w:sz="4" w:space="0" w:color="auto"/>
              <w:right w:val="single" w:sz="12" w:space="0" w:color="auto"/>
            </w:tcBorders>
          </w:tcPr>
          <w:p w14:paraId="0EF7DF80" w14:textId="77777777" w:rsidR="007828B8" w:rsidRPr="007828B8" w:rsidRDefault="007828B8" w:rsidP="007828B8">
            <w:pPr>
              <w:spacing w:before="120" w:after="120" w:line="240" w:lineRule="auto"/>
              <w:rPr>
                <w:rFonts w:eastAsia="Times New Roman"/>
                <w:lang w:val="en-US"/>
              </w:rPr>
            </w:pPr>
          </w:p>
        </w:tc>
      </w:tr>
      <w:tr w:rsidR="007828B8" w:rsidRPr="007828B8" w14:paraId="724C5306" w14:textId="77777777" w:rsidTr="007D2090">
        <w:tc>
          <w:tcPr>
            <w:tcW w:w="3135" w:type="dxa"/>
            <w:tcBorders>
              <w:top w:val="single" w:sz="4" w:space="0" w:color="auto"/>
              <w:left w:val="single" w:sz="12" w:space="0" w:color="auto"/>
              <w:bottom w:val="single" w:sz="12" w:space="0" w:color="auto"/>
              <w:right w:val="single" w:sz="12" w:space="0" w:color="auto"/>
            </w:tcBorders>
          </w:tcPr>
          <w:p w14:paraId="5093D1D5" w14:textId="77777777" w:rsidR="007828B8" w:rsidRPr="007828B8" w:rsidRDefault="007828B8" w:rsidP="007828B8">
            <w:pPr>
              <w:spacing w:before="120" w:after="120" w:line="240" w:lineRule="auto"/>
              <w:rPr>
                <w:rFonts w:eastAsia="Times New Roman"/>
                <w:sz w:val="20"/>
                <w:szCs w:val="20"/>
                <w:lang w:val="en-US"/>
              </w:rPr>
            </w:pPr>
            <w:r w:rsidRPr="007828B8">
              <w:rPr>
                <w:rFonts w:eastAsia="Times New Roman"/>
                <w:sz w:val="20"/>
                <w:szCs w:val="20"/>
                <w:lang w:val="en-US"/>
              </w:rPr>
              <w:t>Date:</w:t>
            </w:r>
          </w:p>
        </w:tc>
        <w:tc>
          <w:tcPr>
            <w:tcW w:w="6195" w:type="dxa"/>
            <w:tcBorders>
              <w:top w:val="single" w:sz="4" w:space="0" w:color="auto"/>
              <w:left w:val="single" w:sz="12" w:space="0" w:color="auto"/>
              <w:bottom w:val="single" w:sz="12" w:space="0" w:color="auto"/>
              <w:right w:val="single" w:sz="12" w:space="0" w:color="auto"/>
            </w:tcBorders>
          </w:tcPr>
          <w:p w14:paraId="51E5A734" w14:textId="77777777" w:rsidR="007828B8" w:rsidRPr="007828B8" w:rsidRDefault="007828B8" w:rsidP="007828B8">
            <w:pPr>
              <w:spacing w:before="120" w:after="120" w:line="240" w:lineRule="auto"/>
              <w:rPr>
                <w:rFonts w:eastAsia="Times New Roman"/>
                <w:lang w:val="en-US"/>
              </w:rPr>
            </w:pPr>
          </w:p>
        </w:tc>
      </w:tr>
    </w:tbl>
    <w:p w14:paraId="73479D05" w14:textId="77777777" w:rsidR="00996C40" w:rsidRDefault="00996C40" w:rsidP="009D1766">
      <w:pPr>
        <w:rPr>
          <w:b/>
        </w:rPr>
      </w:pPr>
    </w:p>
    <w:p w14:paraId="7B347EA7" w14:textId="77777777" w:rsidR="00996C40" w:rsidRDefault="00996C40" w:rsidP="009D1766">
      <w:pPr>
        <w:rPr>
          <w:b/>
        </w:rPr>
      </w:pPr>
    </w:p>
    <w:p w14:paraId="19145BBC" w14:textId="77777777" w:rsidR="00996C40" w:rsidRDefault="00996C40" w:rsidP="009D1766">
      <w:pPr>
        <w:rPr>
          <w:b/>
        </w:rPr>
      </w:pPr>
    </w:p>
    <w:p w14:paraId="27DA8D02" w14:textId="77777777" w:rsidR="00996C40" w:rsidRDefault="00996C40" w:rsidP="009D1766">
      <w:pPr>
        <w:rPr>
          <w:b/>
        </w:rPr>
      </w:pPr>
    </w:p>
    <w:p w14:paraId="376D8FCF" w14:textId="77777777" w:rsidR="00996C40" w:rsidRDefault="00996C40" w:rsidP="009D1766">
      <w:pPr>
        <w:rPr>
          <w:b/>
        </w:rPr>
      </w:pPr>
    </w:p>
    <w:p w14:paraId="1568BE8A" w14:textId="77777777" w:rsidR="00996C40" w:rsidRDefault="00996C40" w:rsidP="009D1766">
      <w:pPr>
        <w:rPr>
          <w:b/>
        </w:rPr>
      </w:pPr>
    </w:p>
    <w:p w14:paraId="540D5C3A" w14:textId="77777777" w:rsidR="00996C40" w:rsidRDefault="00996C40" w:rsidP="009D1766">
      <w:pPr>
        <w:rPr>
          <w:b/>
        </w:rPr>
      </w:pPr>
    </w:p>
    <w:p w14:paraId="7E12B859" w14:textId="5CDA003C" w:rsidR="000E012E" w:rsidRPr="007D2090" w:rsidRDefault="00EB03CF" w:rsidP="00EB03CF">
      <w:pPr>
        <w:ind w:left="450" w:hanging="450"/>
        <w:rPr>
          <w:b/>
          <w:bCs/>
        </w:rPr>
      </w:pPr>
      <w:r>
        <w:rPr>
          <w:b/>
          <w:bCs/>
        </w:rPr>
        <w:t xml:space="preserve">1. </w:t>
      </w:r>
      <w:r>
        <w:rPr>
          <w:b/>
          <w:bCs/>
        </w:rPr>
        <w:tab/>
        <w:t xml:space="preserve">The </w:t>
      </w:r>
      <w:r w:rsidR="000E012E" w:rsidRPr="007D2090">
        <w:rPr>
          <w:b/>
          <w:bCs/>
        </w:rPr>
        <w:t xml:space="preserve">following questions from </w:t>
      </w:r>
      <w:r>
        <w:rPr>
          <w:b/>
          <w:bCs/>
        </w:rPr>
        <w:t>vendors</w:t>
      </w:r>
      <w:r w:rsidR="000E012E" w:rsidRPr="007D2090">
        <w:rPr>
          <w:b/>
          <w:bCs/>
        </w:rPr>
        <w:t xml:space="preserve"> and answers from the Department</w:t>
      </w:r>
      <w:r>
        <w:rPr>
          <w:b/>
          <w:bCs/>
        </w:rPr>
        <w:t xml:space="preserve"> are hereby added to </w:t>
      </w:r>
      <w:r w:rsidRPr="007D2090">
        <w:rPr>
          <w:b/>
          <w:bCs/>
        </w:rPr>
        <w:t>RFPs ET</w:t>
      </w:r>
      <w:r>
        <w:rPr>
          <w:b/>
          <w:bCs/>
        </w:rPr>
        <w:t>D0052-53</w:t>
      </w:r>
      <w:r w:rsidR="000E012E" w:rsidRPr="007D2090">
        <w:rPr>
          <w:b/>
          <w:bCs/>
        </w:rPr>
        <w:t xml:space="preserve">:  </w:t>
      </w:r>
    </w:p>
    <w:p w14:paraId="4BA1C337" w14:textId="201BD331" w:rsidR="00945A32" w:rsidRPr="00E4075C" w:rsidRDefault="00945A32" w:rsidP="00945A32">
      <w:pPr>
        <w:pStyle w:val="ListParagraph"/>
        <w:spacing w:before="0" w:after="0"/>
        <w:contextualSpacing w:val="0"/>
        <w:rPr>
          <w:rFonts w:ascii="Arial" w:hAnsi="Arial" w:cs="Arial"/>
        </w:rPr>
      </w:pPr>
    </w:p>
    <w:tbl>
      <w:tblPr>
        <w:tblW w:w="100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7"/>
        <w:gridCol w:w="2237"/>
        <w:gridCol w:w="1103"/>
        <w:gridCol w:w="8"/>
        <w:gridCol w:w="2688"/>
        <w:gridCol w:w="3251"/>
        <w:gridCol w:w="13"/>
      </w:tblGrid>
      <w:tr w:rsidR="00B27F16" w14:paraId="0C551C9E" w14:textId="77777777" w:rsidTr="00B27F16">
        <w:tc>
          <w:tcPr>
            <w:tcW w:w="733" w:type="dxa"/>
            <w:gridSpan w:val="2"/>
            <w:shd w:val="clear" w:color="auto" w:fill="44546A" w:themeFill="text2"/>
          </w:tcPr>
          <w:p w14:paraId="17CAF112" w14:textId="77777777" w:rsidR="00945A32" w:rsidRPr="008E73CB" w:rsidRDefault="00945A32" w:rsidP="00B5032F">
            <w:pPr>
              <w:rPr>
                <w:color w:val="FFFFFF" w:themeColor="background1"/>
                <w:sz w:val="20"/>
                <w:szCs w:val="20"/>
              </w:rPr>
            </w:pPr>
            <w:r w:rsidRPr="008E73CB">
              <w:rPr>
                <w:color w:val="FFFFFF" w:themeColor="background1"/>
                <w:sz w:val="20"/>
                <w:szCs w:val="20"/>
              </w:rPr>
              <w:t>Q #</w:t>
            </w:r>
          </w:p>
        </w:tc>
        <w:tc>
          <w:tcPr>
            <w:tcW w:w="2237" w:type="dxa"/>
            <w:shd w:val="clear" w:color="auto" w:fill="44546A" w:themeFill="text2"/>
          </w:tcPr>
          <w:p w14:paraId="5F8EFC14" w14:textId="77777777" w:rsidR="00945A32" w:rsidRPr="00984F4A" w:rsidRDefault="00945A32" w:rsidP="00B5032F">
            <w:pPr>
              <w:rPr>
                <w:color w:val="FFFFFF" w:themeColor="background1"/>
                <w:sz w:val="20"/>
                <w:szCs w:val="20"/>
              </w:rPr>
            </w:pPr>
            <w:r w:rsidRPr="00984F4A">
              <w:rPr>
                <w:color w:val="FFFFFF" w:themeColor="background1"/>
                <w:sz w:val="20"/>
                <w:szCs w:val="20"/>
              </w:rPr>
              <w:t>RFP / Appendix # and Section #</w:t>
            </w:r>
          </w:p>
        </w:tc>
        <w:tc>
          <w:tcPr>
            <w:tcW w:w="1111" w:type="dxa"/>
            <w:gridSpan w:val="2"/>
            <w:shd w:val="clear" w:color="auto" w:fill="44546A" w:themeFill="text2"/>
          </w:tcPr>
          <w:p w14:paraId="0B69827B" w14:textId="77777777" w:rsidR="00945A32" w:rsidRPr="00D9013D" w:rsidRDefault="00945A32" w:rsidP="00B5032F">
            <w:pPr>
              <w:rPr>
                <w:color w:val="FFFFFF" w:themeColor="background1"/>
                <w:sz w:val="20"/>
                <w:szCs w:val="20"/>
              </w:rPr>
            </w:pPr>
            <w:r w:rsidRPr="00D9013D">
              <w:rPr>
                <w:color w:val="FFFFFF" w:themeColor="background1"/>
                <w:sz w:val="20"/>
                <w:szCs w:val="20"/>
              </w:rPr>
              <w:t>RFP Page</w:t>
            </w:r>
          </w:p>
        </w:tc>
        <w:tc>
          <w:tcPr>
            <w:tcW w:w="2688" w:type="dxa"/>
            <w:shd w:val="clear" w:color="auto" w:fill="44546A" w:themeFill="text2"/>
          </w:tcPr>
          <w:p w14:paraId="69BF5BC8" w14:textId="0C2AC49B" w:rsidR="00945A32" w:rsidRPr="00984F4A" w:rsidRDefault="00945A32" w:rsidP="00B5032F">
            <w:pPr>
              <w:rPr>
                <w:color w:val="FFFFFF" w:themeColor="background1"/>
                <w:sz w:val="20"/>
                <w:szCs w:val="20"/>
              </w:rPr>
            </w:pPr>
            <w:r>
              <w:rPr>
                <w:color w:val="FFFFFF" w:themeColor="background1"/>
                <w:sz w:val="20"/>
                <w:szCs w:val="20"/>
              </w:rPr>
              <w:t xml:space="preserve">Vendor </w:t>
            </w:r>
            <w:r w:rsidRPr="00984F4A">
              <w:rPr>
                <w:color w:val="FFFFFF" w:themeColor="background1"/>
                <w:sz w:val="20"/>
                <w:szCs w:val="20"/>
              </w:rPr>
              <w:t>Question</w:t>
            </w:r>
          </w:p>
        </w:tc>
        <w:tc>
          <w:tcPr>
            <w:tcW w:w="3264" w:type="dxa"/>
            <w:gridSpan w:val="2"/>
            <w:shd w:val="clear" w:color="auto" w:fill="44546A" w:themeFill="text2"/>
          </w:tcPr>
          <w:p w14:paraId="6D310336" w14:textId="77777777" w:rsidR="00945A32" w:rsidRPr="008E73CB" w:rsidRDefault="00945A32" w:rsidP="00B5032F">
            <w:pPr>
              <w:rPr>
                <w:color w:val="FFFFFF" w:themeColor="background1"/>
                <w:sz w:val="20"/>
                <w:szCs w:val="20"/>
              </w:rPr>
            </w:pPr>
            <w:r w:rsidRPr="008E73CB">
              <w:rPr>
                <w:color w:val="FFFFFF" w:themeColor="background1"/>
                <w:sz w:val="20"/>
                <w:szCs w:val="20"/>
              </w:rPr>
              <w:t>Department Answer</w:t>
            </w:r>
          </w:p>
        </w:tc>
      </w:tr>
      <w:tr w:rsidR="00B27F16" w:rsidRPr="004128BC" w14:paraId="23F245B3" w14:textId="77777777" w:rsidTr="00B27F16">
        <w:tc>
          <w:tcPr>
            <w:tcW w:w="733" w:type="dxa"/>
            <w:gridSpan w:val="2"/>
            <w:shd w:val="clear" w:color="auto" w:fill="D5DCE4" w:themeFill="text2" w:themeFillTint="33"/>
          </w:tcPr>
          <w:p w14:paraId="38377F63" w14:textId="77777777" w:rsidR="00945A32" w:rsidRPr="004128BC" w:rsidRDefault="00945A32" w:rsidP="00B5032F">
            <w:pPr>
              <w:jc w:val="both"/>
              <w:rPr>
                <w:sz w:val="20"/>
                <w:szCs w:val="20"/>
              </w:rPr>
            </w:pPr>
            <w:r w:rsidRPr="004128BC">
              <w:rPr>
                <w:sz w:val="20"/>
                <w:szCs w:val="20"/>
              </w:rPr>
              <w:t>Q1</w:t>
            </w:r>
          </w:p>
        </w:tc>
        <w:tc>
          <w:tcPr>
            <w:tcW w:w="2237" w:type="dxa"/>
            <w:shd w:val="clear" w:color="auto" w:fill="D5DCE4" w:themeFill="text2" w:themeFillTint="33"/>
          </w:tcPr>
          <w:p w14:paraId="441ED653" w14:textId="77777777" w:rsidR="00945A32" w:rsidRPr="00984F4A" w:rsidRDefault="00945A32" w:rsidP="00B5032F">
            <w:pPr>
              <w:rPr>
                <w:sz w:val="20"/>
                <w:szCs w:val="20"/>
              </w:rPr>
            </w:pPr>
            <w:r w:rsidRPr="00D9013D">
              <w:rPr>
                <w:sz w:val="20"/>
                <w:szCs w:val="20"/>
              </w:rPr>
              <w:t>RFP Appendix 6 Program Agreement – RFP ETD0052 Health Savings Account Section 125E Employer Contribution</w:t>
            </w:r>
          </w:p>
        </w:tc>
        <w:tc>
          <w:tcPr>
            <w:tcW w:w="1111" w:type="dxa"/>
            <w:gridSpan w:val="2"/>
            <w:shd w:val="clear" w:color="auto" w:fill="D5DCE4" w:themeFill="text2" w:themeFillTint="33"/>
          </w:tcPr>
          <w:p w14:paraId="6E11146D" w14:textId="77777777" w:rsidR="00945A32" w:rsidRPr="00D9013D" w:rsidRDefault="00945A32" w:rsidP="00B5032F">
            <w:pPr>
              <w:rPr>
                <w:sz w:val="20"/>
                <w:szCs w:val="20"/>
              </w:rPr>
            </w:pPr>
            <w:r w:rsidRPr="00D9013D">
              <w:rPr>
                <w:sz w:val="20"/>
                <w:szCs w:val="20"/>
              </w:rPr>
              <w:t>17</w:t>
            </w:r>
          </w:p>
        </w:tc>
        <w:tc>
          <w:tcPr>
            <w:tcW w:w="2688" w:type="dxa"/>
            <w:shd w:val="clear" w:color="auto" w:fill="D5DCE4" w:themeFill="text2" w:themeFillTint="33"/>
          </w:tcPr>
          <w:p w14:paraId="2049977B" w14:textId="77777777" w:rsidR="00945A32" w:rsidRPr="00984F4A" w:rsidRDefault="00945A32" w:rsidP="00B5032F">
            <w:pPr>
              <w:rPr>
                <w:sz w:val="20"/>
                <w:szCs w:val="20"/>
              </w:rPr>
            </w:pPr>
            <w:r w:rsidRPr="00984F4A">
              <w:rPr>
                <w:sz w:val="20"/>
                <w:szCs w:val="20"/>
              </w:rPr>
              <w:t>How much is the annual HSA employer contribution (i.e. $500 per individual; $1000 per family)?</w:t>
            </w:r>
          </w:p>
        </w:tc>
        <w:tc>
          <w:tcPr>
            <w:tcW w:w="3264" w:type="dxa"/>
            <w:gridSpan w:val="2"/>
            <w:shd w:val="clear" w:color="auto" w:fill="D5DCE4" w:themeFill="text2" w:themeFillTint="33"/>
          </w:tcPr>
          <w:p w14:paraId="42450327" w14:textId="77777777" w:rsidR="00945A32" w:rsidRPr="00D9013D" w:rsidRDefault="00945A32" w:rsidP="00B5032F">
            <w:pPr>
              <w:spacing w:after="60"/>
              <w:rPr>
                <w:sz w:val="20"/>
                <w:szCs w:val="20"/>
              </w:rPr>
            </w:pPr>
            <w:r>
              <w:rPr>
                <w:sz w:val="20"/>
                <w:szCs w:val="20"/>
              </w:rPr>
              <w:t>Employer c</w:t>
            </w:r>
            <w:r w:rsidRPr="00D9013D">
              <w:rPr>
                <w:sz w:val="20"/>
                <w:szCs w:val="20"/>
              </w:rPr>
              <w:t>ontribution</w:t>
            </w:r>
            <w:r>
              <w:rPr>
                <w:sz w:val="20"/>
                <w:szCs w:val="20"/>
              </w:rPr>
              <w:t>s</w:t>
            </w:r>
            <w:r w:rsidRPr="00D9013D" w:rsidDel="00905425">
              <w:rPr>
                <w:sz w:val="20"/>
                <w:szCs w:val="20"/>
              </w:rPr>
              <w:t xml:space="preserve"> </w:t>
            </w:r>
            <w:r w:rsidRPr="00D9013D">
              <w:rPr>
                <w:sz w:val="20"/>
                <w:szCs w:val="20"/>
              </w:rPr>
              <w:t xml:space="preserve">for 2025 are: </w:t>
            </w:r>
          </w:p>
          <w:p w14:paraId="6C96D538" w14:textId="77777777" w:rsidR="00945A32" w:rsidRDefault="00945A32" w:rsidP="00945A32">
            <w:pPr>
              <w:pStyle w:val="ListParagraph"/>
              <w:numPr>
                <w:ilvl w:val="0"/>
                <w:numId w:val="33"/>
              </w:numPr>
              <w:spacing w:before="0" w:after="0"/>
              <w:ind w:left="241" w:hanging="270"/>
              <w:contextualSpacing w:val="0"/>
              <w:rPr>
                <w:rFonts w:ascii="Arial" w:hAnsi="Arial" w:cs="Arial"/>
                <w:sz w:val="20"/>
                <w:szCs w:val="20"/>
              </w:rPr>
            </w:pPr>
            <w:r w:rsidRPr="004E2270">
              <w:rPr>
                <w:rFonts w:ascii="Arial" w:hAnsi="Arial" w:cs="Arial"/>
                <w:sz w:val="20"/>
                <w:szCs w:val="20"/>
              </w:rPr>
              <w:t xml:space="preserve">$828 for individual </w:t>
            </w:r>
            <w:r>
              <w:rPr>
                <w:rFonts w:ascii="Arial" w:hAnsi="Arial" w:cs="Arial"/>
                <w:sz w:val="20"/>
                <w:szCs w:val="20"/>
              </w:rPr>
              <w:t xml:space="preserve">HDHP </w:t>
            </w:r>
            <w:r w:rsidRPr="004E2270">
              <w:rPr>
                <w:rFonts w:ascii="Arial" w:hAnsi="Arial" w:cs="Arial"/>
                <w:sz w:val="20"/>
                <w:szCs w:val="20"/>
              </w:rPr>
              <w:t xml:space="preserve">coverage </w:t>
            </w:r>
          </w:p>
          <w:p w14:paraId="717EAE51" w14:textId="77777777" w:rsidR="00945A32" w:rsidRPr="004E2270" w:rsidRDefault="00945A32" w:rsidP="00945A32">
            <w:pPr>
              <w:pStyle w:val="ListParagraph"/>
              <w:numPr>
                <w:ilvl w:val="0"/>
                <w:numId w:val="33"/>
              </w:numPr>
              <w:spacing w:before="0" w:after="0"/>
              <w:ind w:left="241" w:hanging="270"/>
              <w:contextualSpacing w:val="0"/>
              <w:rPr>
                <w:rFonts w:ascii="Arial" w:hAnsi="Arial" w:cs="Arial"/>
                <w:sz w:val="20"/>
                <w:szCs w:val="20"/>
              </w:rPr>
            </w:pPr>
            <w:r w:rsidRPr="004E2270">
              <w:rPr>
                <w:rFonts w:ascii="Arial" w:hAnsi="Arial" w:cs="Arial"/>
                <w:sz w:val="20"/>
                <w:szCs w:val="20"/>
              </w:rPr>
              <w:t xml:space="preserve">$1,650 for family </w:t>
            </w:r>
            <w:r>
              <w:rPr>
                <w:rFonts w:ascii="Arial" w:hAnsi="Arial" w:cs="Arial"/>
                <w:sz w:val="20"/>
                <w:szCs w:val="20"/>
              </w:rPr>
              <w:t xml:space="preserve">HDHP </w:t>
            </w:r>
            <w:r w:rsidRPr="004E2270">
              <w:rPr>
                <w:rFonts w:ascii="Arial" w:hAnsi="Arial" w:cs="Arial"/>
                <w:sz w:val="20"/>
                <w:szCs w:val="20"/>
              </w:rPr>
              <w:t>coverage</w:t>
            </w:r>
          </w:p>
        </w:tc>
      </w:tr>
      <w:tr w:rsidR="00B27F16" w:rsidRPr="004128BC" w14:paraId="2796E161" w14:textId="77777777" w:rsidTr="00B27F16">
        <w:tc>
          <w:tcPr>
            <w:tcW w:w="733" w:type="dxa"/>
            <w:gridSpan w:val="2"/>
            <w:shd w:val="clear" w:color="auto" w:fill="E7E6E6" w:themeFill="background2"/>
          </w:tcPr>
          <w:p w14:paraId="2068A9A3" w14:textId="77777777" w:rsidR="00945A32" w:rsidRPr="004128BC" w:rsidRDefault="00945A32" w:rsidP="00B5032F">
            <w:pPr>
              <w:jc w:val="both"/>
              <w:rPr>
                <w:sz w:val="20"/>
                <w:szCs w:val="20"/>
              </w:rPr>
            </w:pPr>
            <w:r w:rsidRPr="004128BC">
              <w:rPr>
                <w:sz w:val="20"/>
                <w:szCs w:val="20"/>
              </w:rPr>
              <w:t>Q2</w:t>
            </w:r>
          </w:p>
        </w:tc>
        <w:tc>
          <w:tcPr>
            <w:tcW w:w="2237" w:type="dxa"/>
            <w:shd w:val="clear" w:color="auto" w:fill="E7E6E6" w:themeFill="background2"/>
          </w:tcPr>
          <w:p w14:paraId="6A40A23C" w14:textId="77777777" w:rsidR="00945A32" w:rsidRPr="00984F4A" w:rsidRDefault="00945A32" w:rsidP="00B5032F">
            <w:pPr>
              <w:rPr>
                <w:sz w:val="20"/>
                <w:szCs w:val="20"/>
              </w:rPr>
            </w:pPr>
            <w:r w:rsidRPr="00D9013D">
              <w:rPr>
                <w:sz w:val="20"/>
                <w:szCs w:val="20"/>
              </w:rPr>
              <w:t xml:space="preserve">RFP </w:t>
            </w:r>
            <w:r w:rsidRPr="00984F4A">
              <w:rPr>
                <w:sz w:val="20"/>
                <w:szCs w:val="20"/>
              </w:rPr>
              <w:t>Appendix 7 / Section 155E</w:t>
            </w:r>
          </w:p>
        </w:tc>
        <w:tc>
          <w:tcPr>
            <w:tcW w:w="1111" w:type="dxa"/>
            <w:gridSpan w:val="2"/>
            <w:shd w:val="clear" w:color="auto" w:fill="E7E6E6" w:themeFill="background2"/>
          </w:tcPr>
          <w:p w14:paraId="4C9CD7B3" w14:textId="77777777" w:rsidR="00945A32" w:rsidRPr="00D9013D" w:rsidRDefault="00945A32" w:rsidP="00B5032F">
            <w:pPr>
              <w:rPr>
                <w:sz w:val="20"/>
                <w:szCs w:val="20"/>
              </w:rPr>
            </w:pPr>
            <w:r w:rsidRPr="00D9013D">
              <w:rPr>
                <w:sz w:val="20"/>
                <w:szCs w:val="20"/>
              </w:rPr>
              <w:t>45</w:t>
            </w:r>
          </w:p>
        </w:tc>
        <w:tc>
          <w:tcPr>
            <w:tcW w:w="2688" w:type="dxa"/>
            <w:shd w:val="clear" w:color="auto" w:fill="E7E6E6" w:themeFill="background2"/>
          </w:tcPr>
          <w:p w14:paraId="380BCA31" w14:textId="07EC379A" w:rsidR="00945A32" w:rsidRPr="00984F4A" w:rsidRDefault="00945A32" w:rsidP="00B5032F">
            <w:pPr>
              <w:rPr>
                <w:sz w:val="20"/>
                <w:szCs w:val="20"/>
              </w:rPr>
            </w:pPr>
            <w:r w:rsidRPr="00984F4A">
              <w:rPr>
                <w:sz w:val="20"/>
                <w:szCs w:val="20"/>
              </w:rPr>
              <w:t xml:space="preserve">While our core service offering does not provide non-discrimination tests, we can refer our clients to a vendor we have used that provides this service.   The state would need to enter into an agreement directly with the vendor. We would </w:t>
            </w:r>
            <w:r w:rsidRPr="00984F4A">
              <w:rPr>
                <w:sz w:val="20"/>
                <w:szCs w:val="20"/>
              </w:rPr>
              <w:lastRenderedPageBreak/>
              <w:t>provide the data we have to the vendor to perform the nondiscrimination test and we would cover the cost of the vendors services. Is this an acceptable arrangement, or would it exclude us from the RFP?</w:t>
            </w:r>
          </w:p>
        </w:tc>
        <w:tc>
          <w:tcPr>
            <w:tcW w:w="3264" w:type="dxa"/>
            <w:gridSpan w:val="2"/>
            <w:shd w:val="clear" w:color="auto" w:fill="E7E6E6" w:themeFill="background2"/>
          </w:tcPr>
          <w:p w14:paraId="37587D50" w14:textId="77777777" w:rsidR="00945A32" w:rsidRDefault="00945A32" w:rsidP="00B5032F">
            <w:pPr>
              <w:spacing w:after="60"/>
              <w:rPr>
                <w:sz w:val="20"/>
                <w:szCs w:val="20"/>
              </w:rPr>
            </w:pPr>
            <w:r>
              <w:rPr>
                <w:sz w:val="20"/>
                <w:szCs w:val="20"/>
              </w:rPr>
              <w:lastRenderedPageBreak/>
              <w:t xml:space="preserve">Non-discrimination testing is a required service under the RFP. </w:t>
            </w:r>
          </w:p>
          <w:p w14:paraId="58CC32CA" w14:textId="77777777" w:rsidR="00945A32" w:rsidRDefault="00945A32" w:rsidP="00B5032F">
            <w:pPr>
              <w:spacing w:after="60"/>
              <w:rPr>
                <w:sz w:val="20"/>
                <w:szCs w:val="20"/>
              </w:rPr>
            </w:pPr>
            <w:r w:rsidRPr="00D9013D">
              <w:rPr>
                <w:sz w:val="20"/>
                <w:szCs w:val="20"/>
              </w:rPr>
              <w:t xml:space="preserve">The Contractor would be responsible for contracting for and managing the services provided </w:t>
            </w:r>
            <w:r>
              <w:rPr>
                <w:sz w:val="20"/>
                <w:szCs w:val="20"/>
              </w:rPr>
              <w:t xml:space="preserve">by the Subcontractor </w:t>
            </w:r>
            <w:r w:rsidRPr="00D9013D">
              <w:rPr>
                <w:sz w:val="20"/>
                <w:szCs w:val="20"/>
              </w:rPr>
              <w:t>under the Contract.</w:t>
            </w:r>
          </w:p>
          <w:p w14:paraId="2CC54939" w14:textId="77777777" w:rsidR="00945A32" w:rsidRPr="004128BC" w:rsidRDefault="00945A32" w:rsidP="00B5032F">
            <w:pPr>
              <w:rPr>
                <w:sz w:val="20"/>
                <w:szCs w:val="20"/>
              </w:rPr>
            </w:pPr>
          </w:p>
        </w:tc>
      </w:tr>
      <w:tr w:rsidR="00B27F16" w:rsidRPr="004128BC" w14:paraId="2537C629" w14:textId="77777777" w:rsidTr="00B27F16">
        <w:tc>
          <w:tcPr>
            <w:tcW w:w="733" w:type="dxa"/>
            <w:gridSpan w:val="2"/>
            <w:shd w:val="clear" w:color="auto" w:fill="D5DCE4" w:themeFill="text2" w:themeFillTint="33"/>
          </w:tcPr>
          <w:p w14:paraId="62511FA0" w14:textId="77777777" w:rsidR="00945A32" w:rsidRPr="004128BC" w:rsidRDefault="00945A32" w:rsidP="00B5032F">
            <w:pPr>
              <w:jc w:val="both"/>
              <w:rPr>
                <w:sz w:val="20"/>
                <w:szCs w:val="20"/>
              </w:rPr>
            </w:pPr>
            <w:r w:rsidRPr="004128BC">
              <w:rPr>
                <w:sz w:val="20"/>
                <w:szCs w:val="20"/>
              </w:rPr>
              <w:t>Q3</w:t>
            </w:r>
          </w:p>
        </w:tc>
        <w:tc>
          <w:tcPr>
            <w:tcW w:w="2237" w:type="dxa"/>
            <w:shd w:val="clear" w:color="auto" w:fill="D5DCE4" w:themeFill="text2" w:themeFillTint="33"/>
          </w:tcPr>
          <w:p w14:paraId="5D3731B6" w14:textId="77777777" w:rsidR="00945A32" w:rsidRPr="00984F4A" w:rsidRDefault="00945A32" w:rsidP="00B5032F">
            <w:pPr>
              <w:rPr>
                <w:sz w:val="20"/>
                <w:szCs w:val="20"/>
              </w:rPr>
            </w:pPr>
            <w:r w:rsidRPr="00D9013D">
              <w:rPr>
                <w:sz w:val="20"/>
                <w:szCs w:val="20"/>
              </w:rPr>
              <w:t xml:space="preserve">RFP </w:t>
            </w:r>
            <w:r w:rsidRPr="00984F4A">
              <w:rPr>
                <w:sz w:val="20"/>
                <w:szCs w:val="20"/>
              </w:rPr>
              <w:t>Appendix 6 &amp; 7</w:t>
            </w:r>
            <w:r w:rsidRPr="00D9013D">
              <w:rPr>
                <w:sz w:val="20"/>
                <w:szCs w:val="20"/>
              </w:rPr>
              <w:t xml:space="preserve"> Program Agreements</w:t>
            </w:r>
          </w:p>
        </w:tc>
        <w:tc>
          <w:tcPr>
            <w:tcW w:w="1111" w:type="dxa"/>
            <w:gridSpan w:val="2"/>
            <w:shd w:val="clear" w:color="auto" w:fill="D5DCE4" w:themeFill="text2" w:themeFillTint="33"/>
          </w:tcPr>
          <w:p w14:paraId="297B053C" w14:textId="77777777" w:rsidR="00945A32" w:rsidRPr="00D9013D" w:rsidRDefault="00945A32" w:rsidP="00B5032F">
            <w:pPr>
              <w:rPr>
                <w:sz w:val="20"/>
                <w:szCs w:val="20"/>
              </w:rPr>
            </w:pPr>
            <w:r w:rsidRPr="00D9013D">
              <w:rPr>
                <w:sz w:val="20"/>
                <w:szCs w:val="20"/>
              </w:rPr>
              <w:t>All</w:t>
            </w:r>
          </w:p>
        </w:tc>
        <w:tc>
          <w:tcPr>
            <w:tcW w:w="2688" w:type="dxa"/>
            <w:shd w:val="clear" w:color="auto" w:fill="D5DCE4" w:themeFill="text2" w:themeFillTint="33"/>
          </w:tcPr>
          <w:p w14:paraId="6F849AC6" w14:textId="77777777" w:rsidR="00945A32" w:rsidRPr="00984F4A" w:rsidRDefault="00945A32" w:rsidP="00B5032F">
            <w:pPr>
              <w:rPr>
                <w:sz w:val="20"/>
                <w:szCs w:val="20"/>
              </w:rPr>
            </w:pPr>
            <w:r w:rsidRPr="00984F4A">
              <w:rPr>
                <w:sz w:val="20"/>
                <w:szCs w:val="20"/>
              </w:rPr>
              <w:t>Is there flexibility in the requirements detailed in the scopes of service (particularly appendices 6 &amp; 7), or are they absolute must haves as currently written?</w:t>
            </w:r>
          </w:p>
        </w:tc>
        <w:tc>
          <w:tcPr>
            <w:tcW w:w="3264" w:type="dxa"/>
            <w:gridSpan w:val="2"/>
            <w:shd w:val="clear" w:color="auto" w:fill="D5DCE4" w:themeFill="text2" w:themeFillTint="33"/>
          </w:tcPr>
          <w:p w14:paraId="4D327ED0" w14:textId="77777777" w:rsidR="00945A32" w:rsidRPr="004128BC" w:rsidRDefault="00945A32" w:rsidP="00B5032F">
            <w:pPr>
              <w:rPr>
                <w:sz w:val="20"/>
                <w:szCs w:val="20"/>
              </w:rPr>
            </w:pPr>
            <w:r w:rsidRPr="00D9013D">
              <w:rPr>
                <w:sz w:val="20"/>
                <w:szCs w:val="20"/>
              </w:rPr>
              <w:t xml:space="preserve">The Department may allow for some flexibility in the requirements listed in the Program Agreements. </w:t>
            </w:r>
            <w:r w:rsidRPr="5CF3DEC3">
              <w:rPr>
                <w:sz w:val="20"/>
                <w:szCs w:val="20"/>
              </w:rPr>
              <w:t>See the assumptions and exceptions process in the RFP.</w:t>
            </w:r>
          </w:p>
        </w:tc>
      </w:tr>
      <w:tr w:rsidR="00B27F16" w:rsidRPr="004128BC" w14:paraId="4B7F5D3D" w14:textId="77777777" w:rsidTr="00B27F16">
        <w:tc>
          <w:tcPr>
            <w:tcW w:w="733" w:type="dxa"/>
            <w:gridSpan w:val="2"/>
            <w:shd w:val="clear" w:color="auto" w:fill="E7E6E6" w:themeFill="background2"/>
          </w:tcPr>
          <w:p w14:paraId="67B9C924" w14:textId="77777777" w:rsidR="00945A32" w:rsidRPr="004128BC" w:rsidRDefault="00945A32" w:rsidP="00B5032F">
            <w:pPr>
              <w:rPr>
                <w:sz w:val="20"/>
                <w:szCs w:val="20"/>
              </w:rPr>
            </w:pPr>
            <w:r w:rsidRPr="004128BC">
              <w:rPr>
                <w:sz w:val="20"/>
                <w:szCs w:val="20"/>
              </w:rPr>
              <w:t>Q4</w:t>
            </w:r>
          </w:p>
        </w:tc>
        <w:tc>
          <w:tcPr>
            <w:tcW w:w="2237" w:type="dxa"/>
            <w:shd w:val="clear" w:color="auto" w:fill="E7E6E6" w:themeFill="background2"/>
          </w:tcPr>
          <w:p w14:paraId="5D665766" w14:textId="77777777" w:rsidR="00945A32" w:rsidRPr="00D9013D" w:rsidRDefault="00945A32" w:rsidP="00B5032F">
            <w:pPr>
              <w:rPr>
                <w:sz w:val="20"/>
                <w:szCs w:val="20"/>
              </w:rPr>
            </w:pPr>
            <w:r w:rsidRPr="00D9013D">
              <w:rPr>
                <w:sz w:val="20"/>
                <w:szCs w:val="20"/>
              </w:rPr>
              <w:t>RFP Appendix 1 Pro Forma Contract and</w:t>
            </w:r>
          </w:p>
          <w:p w14:paraId="3A33BE6B" w14:textId="77777777" w:rsidR="00945A32" w:rsidRPr="00984F4A" w:rsidRDefault="00945A32" w:rsidP="00B5032F">
            <w:pPr>
              <w:rPr>
                <w:sz w:val="20"/>
                <w:szCs w:val="20"/>
              </w:rPr>
            </w:pPr>
            <w:r w:rsidRPr="00D9013D">
              <w:rPr>
                <w:sz w:val="20"/>
                <w:szCs w:val="20"/>
              </w:rPr>
              <w:t>RFP Appendix 2-Department Terms and Conditions (DTCs)</w:t>
            </w:r>
          </w:p>
        </w:tc>
        <w:tc>
          <w:tcPr>
            <w:tcW w:w="1111" w:type="dxa"/>
            <w:gridSpan w:val="2"/>
            <w:shd w:val="clear" w:color="auto" w:fill="E7E6E6" w:themeFill="background2"/>
          </w:tcPr>
          <w:p w14:paraId="6E1CEAF5" w14:textId="77777777" w:rsidR="00945A32" w:rsidRPr="00D9013D" w:rsidRDefault="00945A32" w:rsidP="00B5032F">
            <w:pPr>
              <w:rPr>
                <w:sz w:val="20"/>
                <w:szCs w:val="20"/>
              </w:rPr>
            </w:pPr>
            <w:r w:rsidRPr="00D9013D">
              <w:rPr>
                <w:sz w:val="20"/>
                <w:szCs w:val="20"/>
              </w:rPr>
              <w:t>All</w:t>
            </w:r>
          </w:p>
        </w:tc>
        <w:tc>
          <w:tcPr>
            <w:tcW w:w="2688" w:type="dxa"/>
            <w:shd w:val="clear" w:color="auto" w:fill="E7E6E6" w:themeFill="background2"/>
          </w:tcPr>
          <w:p w14:paraId="666E9BE8" w14:textId="77777777" w:rsidR="00945A32" w:rsidRPr="00984F4A" w:rsidRDefault="00945A32" w:rsidP="00B5032F">
            <w:pPr>
              <w:rPr>
                <w:sz w:val="20"/>
                <w:szCs w:val="20"/>
              </w:rPr>
            </w:pPr>
            <w:r w:rsidRPr="00984F4A">
              <w:rPr>
                <w:sz w:val="20"/>
                <w:szCs w:val="20"/>
              </w:rPr>
              <w:t>Is there flexibility in negotiating the terms of the contract?</w:t>
            </w:r>
          </w:p>
        </w:tc>
        <w:tc>
          <w:tcPr>
            <w:tcW w:w="3264" w:type="dxa"/>
            <w:gridSpan w:val="2"/>
            <w:shd w:val="clear" w:color="auto" w:fill="E7E6E6" w:themeFill="background2"/>
          </w:tcPr>
          <w:p w14:paraId="3C600A7E" w14:textId="77777777" w:rsidR="00945A32" w:rsidRPr="004128BC" w:rsidRDefault="00945A32" w:rsidP="00B5032F">
            <w:pPr>
              <w:rPr>
                <w:sz w:val="20"/>
                <w:szCs w:val="20"/>
              </w:rPr>
            </w:pPr>
            <w:r w:rsidRPr="00D9013D">
              <w:rPr>
                <w:sz w:val="20"/>
                <w:szCs w:val="20"/>
              </w:rPr>
              <w:t>The Department and the awarded vendor will negotiate a final contract. The Department is open to discussing contract terms during negotiations as described in RFP Sections 2.4.1 - Instructions for Submitting Assumptions and Exceptions and 2.4.2 - IMPORTANT: Supplemental Information – Department Terms and Conditions.</w:t>
            </w:r>
          </w:p>
        </w:tc>
      </w:tr>
      <w:tr w:rsidR="00B27F16" w:rsidRPr="004128BC" w14:paraId="5577EDAB" w14:textId="77777777" w:rsidTr="00B27F16">
        <w:tc>
          <w:tcPr>
            <w:tcW w:w="733" w:type="dxa"/>
            <w:gridSpan w:val="2"/>
            <w:shd w:val="clear" w:color="auto" w:fill="D5DCE4" w:themeFill="text2" w:themeFillTint="33"/>
          </w:tcPr>
          <w:p w14:paraId="7028C25A" w14:textId="77777777" w:rsidR="00945A32" w:rsidRPr="004128BC" w:rsidRDefault="00945A32" w:rsidP="00B5032F">
            <w:pPr>
              <w:jc w:val="both"/>
              <w:rPr>
                <w:sz w:val="20"/>
                <w:szCs w:val="20"/>
              </w:rPr>
            </w:pPr>
            <w:r w:rsidRPr="004128BC">
              <w:rPr>
                <w:sz w:val="20"/>
                <w:szCs w:val="20"/>
              </w:rPr>
              <w:t>Q5</w:t>
            </w:r>
          </w:p>
        </w:tc>
        <w:tc>
          <w:tcPr>
            <w:tcW w:w="2237" w:type="dxa"/>
            <w:shd w:val="clear" w:color="auto" w:fill="D5DCE4" w:themeFill="text2" w:themeFillTint="33"/>
          </w:tcPr>
          <w:p w14:paraId="66B4E4B0" w14:textId="77777777" w:rsidR="00945A32" w:rsidRPr="00D9013D" w:rsidRDefault="00945A32" w:rsidP="00B5032F">
            <w:pPr>
              <w:rPr>
                <w:sz w:val="20"/>
                <w:szCs w:val="20"/>
              </w:rPr>
            </w:pPr>
            <w:r w:rsidRPr="00D9013D">
              <w:rPr>
                <w:sz w:val="20"/>
                <w:szCs w:val="20"/>
              </w:rPr>
              <w:t xml:space="preserve">RFP </w:t>
            </w:r>
            <w:r w:rsidRPr="00984F4A">
              <w:rPr>
                <w:sz w:val="20"/>
                <w:szCs w:val="20"/>
              </w:rPr>
              <w:t xml:space="preserve">Appendix 2 </w:t>
            </w:r>
            <w:r w:rsidRPr="00D9013D">
              <w:rPr>
                <w:sz w:val="20"/>
                <w:szCs w:val="20"/>
              </w:rPr>
              <w:t>DTCs</w:t>
            </w:r>
            <w:r w:rsidRPr="00984F4A">
              <w:rPr>
                <w:sz w:val="20"/>
                <w:szCs w:val="20"/>
              </w:rPr>
              <w:t xml:space="preserve"> Section 14</w:t>
            </w:r>
            <w:r w:rsidRPr="00D9013D">
              <w:rPr>
                <w:sz w:val="20"/>
                <w:szCs w:val="20"/>
              </w:rPr>
              <w:t xml:space="preserve"> </w:t>
            </w:r>
          </w:p>
          <w:p w14:paraId="44B626A7" w14:textId="77777777" w:rsidR="00945A32" w:rsidRPr="00984F4A" w:rsidRDefault="00945A32" w:rsidP="00B5032F">
            <w:pPr>
              <w:rPr>
                <w:sz w:val="20"/>
                <w:szCs w:val="20"/>
              </w:rPr>
            </w:pPr>
            <w:r w:rsidRPr="00D9013D">
              <w:rPr>
                <w:sz w:val="20"/>
                <w:szCs w:val="20"/>
              </w:rPr>
              <w:t>Contract Dispute Resolution</w:t>
            </w:r>
          </w:p>
        </w:tc>
        <w:tc>
          <w:tcPr>
            <w:tcW w:w="1111" w:type="dxa"/>
            <w:gridSpan w:val="2"/>
            <w:shd w:val="clear" w:color="auto" w:fill="D5DCE4" w:themeFill="text2" w:themeFillTint="33"/>
          </w:tcPr>
          <w:p w14:paraId="1AF5B208" w14:textId="77777777" w:rsidR="00945A32" w:rsidRPr="00D9013D" w:rsidRDefault="00945A32" w:rsidP="00B5032F">
            <w:pPr>
              <w:rPr>
                <w:sz w:val="20"/>
                <w:szCs w:val="20"/>
              </w:rPr>
            </w:pPr>
            <w:r w:rsidRPr="00D9013D">
              <w:rPr>
                <w:sz w:val="20"/>
                <w:szCs w:val="20"/>
              </w:rPr>
              <w:t>4</w:t>
            </w:r>
          </w:p>
        </w:tc>
        <w:tc>
          <w:tcPr>
            <w:tcW w:w="2688" w:type="dxa"/>
            <w:shd w:val="clear" w:color="auto" w:fill="D5DCE4" w:themeFill="text2" w:themeFillTint="33"/>
          </w:tcPr>
          <w:p w14:paraId="5EBB9CD2" w14:textId="77777777" w:rsidR="00945A32" w:rsidRPr="00984F4A" w:rsidRDefault="00945A32" w:rsidP="00B5032F">
            <w:pPr>
              <w:rPr>
                <w:sz w:val="20"/>
                <w:szCs w:val="20"/>
              </w:rPr>
            </w:pPr>
            <w:r w:rsidRPr="00984F4A">
              <w:rPr>
                <w:sz w:val="20"/>
                <w:szCs w:val="20"/>
              </w:rPr>
              <w:t>Would the State of Wisconsin be open to modifying this section?</w:t>
            </w:r>
          </w:p>
        </w:tc>
        <w:tc>
          <w:tcPr>
            <w:tcW w:w="3264" w:type="dxa"/>
            <w:gridSpan w:val="2"/>
            <w:shd w:val="clear" w:color="auto" w:fill="D5DCE4" w:themeFill="text2" w:themeFillTint="33"/>
          </w:tcPr>
          <w:p w14:paraId="5E7BFBCE" w14:textId="77777777" w:rsidR="00945A32" w:rsidRPr="004128BC" w:rsidRDefault="00945A32" w:rsidP="00B5032F">
            <w:pPr>
              <w:rPr>
                <w:sz w:val="20"/>
                <w:szCs w:val="20"/>
              </w:rPr>
            </w:pPr>
            <w:r w:rsidRPr="00D9013D">
              <w:rPr>
                <w:sz w:val="20"/>
                <w:szCs w:val="20"/>
              </w:rPr>
              <w:t xml:space="preserve">The Department is open to discussing contract terms during negotiations as described in RFP Sections 2.4.1 - Instructions for Submitting Assumptions and Exceptions and 2.4.2 - IMPORTANT: Supplemental Information – Department Terms and Conditions.  </w:t>
            </w:r>
          </w:p>
        </w:tc>
      </w:tr>
      <w:tr w:rsidR="00B27F16" w:rsidRPr="004128BC" w14:paraId="644B72F6" w14:textId="77777777" w:rsidTr="00B27F16">
        <w:tc>
          <w:tcPr>
            <w:tcW w:w="733" w:type="dxa"/>
            <w:gridSpan w:val="2"/>
            <w:shd w:val="clear" w:color="auto" w:fill="E7E6E6" w:themeFill="background2"/>
          </w:tcPr>
          <w:p w14:paraId="74E59F2C" w14:textId="77777777" w:rsidR="00945A32" w:rsidRPr="004128BC" w:rsidRDefault="00945A32" w:rsidP="00B5032F">
            <w:pPr>
              <w:jc w:val="both"/>
              <w:rPr>
                <w:sz w:val="20"/>
                <w:szCs w:val="20"/>
              </w:rPr>
            </w:pPr>
            <w:r w:rsidRPr="004128BC">
              <w:rPr>
                <w:sz w:val="20"/>
                <w:szCs w:val="20"/>
              </w:rPr>
              <w:t>Q6</w:t>
            </w:r>
          </w:p>
        </w:tc>
        <w:tc>
          <w:tcPr>
            <w:tcW w:w="2237" w:type="dxa"/>
            <w:shd w:val="clear" w:color="auto" w:fill="E7E6E6" w:themeFill="background2"/>
          </w:tcPr>
          <w:p w14:paraId="281843F6" w14:textId="77777777" w:rsidR="00945A32" w:rsidRPr="00D9013D" w:rsidRDefault="00945A32" w:rsidP="00B5032F">
            <w:pPr>
              <w:rPr>
                <w:sz w:val="20"/>
                <w:szCs w:val="20"/>
              </w:rPr>
            </w:pPr>
            <w:r w:rsidRPr="00D9013D">
              <w:rPr>
                <w:sz w:val="20"/>
                <w:szCs w:val="20"/>
              </w:rPr>
              <w:t xml:space="preserve">RFP </w:t>
            </w:r>
            <w:r w:rsidRPr="00984F4A">
              <w:rPr>
                <w:sz w:val="20"/>
                <w:szCs w:val="20"/>
              </w:rPr>
              <w:t xml:space="preserve">Appendix 2 </w:t>
            </w:r>
            <w:r w:rsidRPr="00D9013D">
              <w:rPr>
                <w:sz w:val="20"/>
                <w:szCs w:val="20"/>
              </w:rPr>
              <w:t>DTCs</w:t>
            </w:r>
            <w:r w:rsidRPr="00984F4A">
              <w:rPr>
                <w:sz w:val="20"/>
                <w:szCs w:val="20"/>
              </w:rPr>
              <w:t xml:space="preserve"> Section 24</w:t>
            </w:r>
          </w:p>
          <w:p w14:paraId="45F3FA46" w14:textId="77777777" w:rsidR="00945A32" w:rsidRPr="00984F4A" w:rsidRDefault="00945A32" w:rsidP="00B5032F">
            <w:pPr>
              <w:rPr>
                <w:sz w:val="20"/>
                <w:szCs w:val="20"/>
              </w:rPr>
            </w:pPr>
            <w:r w:rsidRPr="00D9013D">
              <w:rPr>
                <w:sz w:val="20"/>
                <w:szCs w:val="20"/>
              </w:rPr>
              <w:t>Confidential Information, Privacy and HIPAA Business Associate Agreement</w:t>
            </w:r>
          </w:p>
        </w:tc>
        <w:tc>
          <w:tcPr>
            <w:tcW w:w="1111" w:type="dxa"/>
            <w:gridSpan w:val="2"/>
            <w:shd w:val="clear" w:color="auto" w:fill="E7E6E6" w:themeFill="background2"/>
          </w:tcPr>
          <w:p w14:paraId="3BD53B54" w14:textId="77777777" w:rsidR="00945A32" w:rsidRPr="00D9013D" w:rsidRDefault="00945A32" w:rsidP="00B5032F">
            <w:pPr>
              <w:rPr>
                <w:sz w:val="20"/>
                <w:szCs w:val="20"/>
              </w:rPr>
            </w:pPr>
            <w:r w:rsidRPr="00D9013D">
              <w:rPr>
                <w:sz w:val="20"/>
                <w:szCs w:val="20"/>
              </w:rPr>
              <w:t>8</w:t>
            </w:r>
          </w:p>
        </w:tc>
        <w:tc>
          <w:tcPr>
            <w:tcW w:w="2688" w:type="dxa"/>
            <w:shd w:val="clear" w:color="auto" w:fill="E7E6E6" w:themeFill="background2"/>
          </w:tcPr>
          <w:p w14:paraId="7E51CE91" w14:textId="77777777" w:rsidR="00945A32" w:rsidRPr="00984F4A" w:rsidRDefault="00945A32" w:rsidP="00B5032F">
            <w:pPr>
              <w:rPr>
                <w:sz w:val="20"/>
                <w:szCs w:val="20"/>
              </w:rPr>
            </w:pPr>
            <w:r w:rsidRPr="00984F4A">
              <w:rPr>
                <w:sz w:val="20"/>
                <w:szCs w:val="20"/>
              </w:rPr>
              <w:t>Bidding provider practice is to only report actual breaches and not suspected breaches, and the HIPPA regulation has a longer notice period. Is the State of Wisconsin open to modification of this section?</w:t>
            </w:r>
          </w:p>
        </w:tc>
        <w:tc>
          <w:tcPr>
            <w:tcW w:w="3264" w:type="dxa"/>
            <w:gridSpan w:val="2"/>
            <w:shd w:val="clear" w:color="auto" w:fill="E7E6E6" w:themeFill="background2"/>
          </w:tcPr>
          <w:p w14:paraId="236E94B4" w14:textId="77777777" w:rsidR="00945A32" w:rsidRPr="004128BC" w:rsidRDefault="00945A32" w:rsidP="00B5032F">
            <w:pPr>
              <w:rPr>
                <w:sz w:val="20"/>
                <w:szCs w:val="20"/>
              </w:rPr>
            </w:pPr>
            <w:r w:rsidRPr="00D9013D">
              <w:rPr>
                <w:sz w:val="20"/>
                <w:szCs w:val="20"/>
              </w:rPr>
              <w:t>T</w:t>
            </w:r>
            <w:bookmarkStart w:id="2" w:name="OLE_LINK2"/>
            <w:r w:rsidRPr="00D9013D">
              <w:rPr>
                <w:sz w:val="20"/>
                <w:szCs w:val="20"/>
              </w:rPr>
              <w:t xml:space="preserve">he Department is open to discussing contract terms during negotiations as described in RFP Sections 2.4.1 - Instructions for Submitting Assumptions and Exceptions and 2.4.2 - IMPORTANT: Supplemental Information – Department Terms and Conditions. </w:t>
            </w:r>
            <w:bookmarkEnd w:id="2"/>
            <w:r w:rsidRPr="00D9013D">
              <w:rPr>
                <w:sz w:val="20"/>
                <w:szCs w:val="20"/>
              </w:rPr>
              <w:t>Of note, the term “suspected breach” is not defined.</w:t>
            </w:r>
          </w:p>
        </w:tc>
      </w:tr>
      <w:tr w:rsidR="00B27F16" w:rsidRPr="004128BC" w14:paraId="0EB19B35" w14:textId="77777777" w:rsidTr="00B27F16">
        <w:tc>
          <w:tcPr>
            <w:tcW w:w="733" w:type="dxa"/>
            <w:gridSpan w:val="2"/>
            <w:shd w:val="clear" w:color="auto" w:fill="D5DCE4" w:themeFill="text2" w:themeFillTint="33"/>
          </w:tcPr>
          <w:p w14:paraId="3D8642B3" w14:textId="77777777" w:rsidR="00945A32" w:rsidRPr="004128BC" w:rsidRDefault="00945A32" w:rsidP="00B5032F">
            <w:pPr>
              <w:jc w:val="both"/>
              <w:rPr>
                <w:sz w:val="20"/>
                <w:szCs w:val="20"/>
              </w:rPr>
            </w:pPr>
            <w:r w:rsidRPr="004128BC">
              <w:rPr>
                <w:sz w:val="20"/>
                <w:szCs w:val="20"/>
              </w:rPr>
              <w:t>Q7</w:t>
            </w:r>
          </w:p>
        </w:tc>
        <w:tc>
          <w:tcPr>
            <w:tcW w:w="2237" w:type="dxa"/>
            <w:shd w:val="clear" w:color="auto" w:fill="D5DCE4" w:themeFill="text2" w:themeFillTint="33"/>
          </w:tcPr>
          <w:p w14:paraId="62B9A61E" w14:textId="77777777" w:rsidR="00945A32" w:rsidRPr="00D9013D" w:rsidRDefault="00945A32" w:rsidP="00B5032F">
            <w:pPr>
              <w:rPr>
                <w:sz w:val="20"/>
                <w:szCs w:val="20"/>
              </w:rPr>
            </w:pPr>
            <w:r w:rsidRPr="00D9013D">
              <w:rPr>
                <w:sz w:val="20"/>
                <w:szCs w:val="20"/>
              </w:rPr>
              <w:t xml:space="preserve">RFP </w:t>
            </w:r>
            <w:r w:rsidRPr="00984F4A">
              <w:rPr>
                <w:sz w:val="20"/>
                <w:szCs w:val="20"/>
              </w:rPr>
              <w:t xml:space="preserve">Appendix 2 </w:t>
            </w:r>
            <w:r w:rsidRPr="00D9013D">
              <w:rPr>
                <w:sz w:val="20"/>
                <w:szCs w:val="20"/>
              </w:rPr>
              <w:t>DTCs</w:t>
            </w:r>
            <w:r w:rsidRPr="00984F4A">
              <w:rPr>
                <w:sz w:val="20"/>
                <w:szCs w:val="20"/>
              </w:rPr>
              <w:t xml:space="preserve"> Section 25</w:t>
            </w:r>
          </w:p>
          <w:p w14:paraId="0726A59E" w14:textId="77777777" w:rsidR="00945A32" w:rsidRPr="00984F4A" w:rsidRDefault="00945A32" w:rsidP="00B5032F">
            <w:pPr>
              <w:rPr>
                <w:sz w:val="20"/>
                <w:szCs w:val="20"/>
              </w:rPr>
            </w:pPr>
            <w:r w:rsidRPr="00D9013D">
              <w:rPr>
                <w:sz w:val="20"/>
                <w:szCs w:val="20"/>
              </w:rPr>
              <w:t>Indemnification</w:t>
            </w:r>
          </w:p>
        </w:tc>
        <w:tc>
          <w:tcPr>
            <w:tcW w:w="1111" w:type="dxa"/>
            <w:gridSpan w:val="2"/>
            <w:shd w:val="clear" w:color="auto" w:fill="D5DCE4" w:themeFill="text2" w:themeFillTint="33"/>
          </w:tcPr>
          <w:p w14:paraId="70AC5445" w14:textId="77777777" w:rsidR="00945A32" w:rsidRPr="00D9013D" w:rsidRDefault="00945A32" w:rsidP="00B5032F">
            <w:pPr>
              <w:rPr>
                <w:sz w:val="20"/>
                <w:szCs w:val="20"/>
              </w:rPr>
            </w:pPr>
            <w:r w:rsidRPr="00D9013D">
              <w:rPr>
                <w:sz w:val="20"/>
                <w:szCs w:val="20"/>
              </w:rPr>
              <w:t>12</w:t>
            </w:r>
          </w:p>
        </w:tc>
        <w:tc>
          <w:tcPr>
            <w:tcW w:w="2688" w:type="dxa"/>
            <w:shd w:val="clear" w:color="auto" w:fill="D5DCE4" w:themeFill="text2" w:themeFillTint="33"/>
          </w:tcPr>
          <w:p w14:paraId="1E29CBE9" w14:textId="77777777" w:rsidR="00945A32" w:rsidRPr="00984F4A" w:rsidRDefault="00945A32" w:rsidP="00B5032F">
            <w:pPr>
              <w:rPr>
                <w:sz w:val="20"/>
                <w:szCs w:val="20"/>
              </w:rPr>
            </w:pPr>
            <w:r w:rsidRPr="00984F4A">
              <w:rPr>
                <w:sz w:val="20"/>
                <w:szCs w:val="20"/>
              </w:rPr>
              <w:t xml:space="preserve">Bidding provider typically uses mutual indemnification provisions limited to third-party claims with an upper cap on liability. Is the State </w:t>
            </w:r>
            <w:r w:rsidRPr="00984F4A">
              <w:rPr>
                <w:sz w:val="20"/>
                <w:szCs w:val="20"/>
              </w:rPr>
              <w:lastRenderedPageBreak/>
              <w:t>of Wisconsin open to modification of this section?</w:t>
            </w:r>
          </w:p>
        </w:tc>
        <w:tc>
          <w:tcPr>
            <w:tcW w:w="3264" w:type="dxa"/>
            <w:gridSpan w:val="2"/>
            <w:shd w:val="clear" w:color="auto" w:fill="D5DCE4" w:themeFill="text2" w:themeFillTint="33"/>
          </w:tcPr>
          <w:p w14:paraId="44807266" w14:textId="77777777" w:rsidR="00945A32" w:rsidRPr="004128BC" w:rsidRDefault="00945A32" w:rsidP="00B5032F">
            <w:pPr>
              <w:rPr>
                <w:sz w:val="20"/>
                <w:szCs w:val="20"/>
              </w:rPr>
            </w:pPr>
            <w:r w:rsidRPr="00D9013D">
              <w:rPr>
                <w:sz w:val="20"/>
                <w:szCs w:val="20"/>
              </w:rPr>
              <w:lastRenderedPageBreak/>
              <w:t>Section 25.0 Indemnification is included within RFP Table 4. No Assumptions or Exceptions Allowed. See the language in RFP Section 2.4.2.</w:t>
            </w:r>
          </w:p>
        </w:tc>
      </w:tr>
      <w:tr w:rsidR="00B27F16" w:rsidRPr="004128BC" w14:paraId="5E820BD4" w14:textId="77777777" w:rsidTr="00B27F16">
        <w:tc>
          <w:tcPr>
            <w:tcW w:w="733" w:type="dxa"/>
            <w:gridSpan w:val="2"/>
            <w:shd w:val="clear" w:color="auto" w:fill="E7E6E6" w:themeFill="background2"/>
          </w:tcPr>
          <w:p w14:paraId="4E9C0629" w14:textId="77777777" w:rsidR="00945A32" w:rsidRPr="004128BC" w:rsidRDefault="00945A32" w:rsidP="00B5032F">
            <w:pPr>
              <w:jc w:val="both"/>
              <w:rPr>
                <w:sz w:val="20"/>
                <w:szCs w:val="20"/>
              </w:rPr>
            </w:pPr>
            <w:r w:rsidRPr="004128BC">
              <w:rPr>
                <w:sz w:val="20"/>
                <w:szCs w:val="20"/>
              </w:rPr>
              <w:t>Q8</w:t>
            </w:r>
          </w:p>
        </w:tc>
        <w:tc>
          <w:tcPr>
            <w:tcW w:w="2237" w:type="dxa"/>
            <w:shd w:val="clear" w:color="auto" w:fill="E7E6E6" w:themeFill="background2"/>
          </w:tcPr>
          <w:p w14:paraId="52A53ECA" w14:textId="77777777" w:rsidR="00945A32" w:rsidRPr="00984F4A" w:rsidRDefault="00945A32" w:rsidP="00B5032F">
            <w:pPr>
              <w:rPr>
                <w:sz w:val="20"/>
                <w:szCs w:val="20"/>
              </w:rPr>
            </w:pPr>
            <w:r w:rsidRPr="00D9013D">
              <w:rPr>
                <w:sz w:val="20"/>
                <w:szCs w:val="20"/>
              </w:rPr>
              <w:t>RFP Appendix 2 DTCs Section 30 Information Security Agreement</w:t>
            </w:r>
          </w:p>
        </w:tc>
        <w:tc>
          <w:tcPr>
            <w:tcW w:w="1111" w:type="dxa"/>
            <w:gridSpan w:val="2"/>
            <w:shd w:val="clear" w:color="auto" w:fill="E7E6E6" w:themeFill="background2"/>
          </w:tcPr>
          <w:p w14:paraId="2866BACE" w14:textId="77777777" w:rsidR="00945A32" w:rsidRPr="00D9013D" w:rsidRDefault="00945A32" w:rsidP="00B5032F">
            <w:pPr>
              <w:rPr>
                <w:sz w:val="20"/>
                <w:szCs w:val="20"/>
              </w:rPr>
            </w:pPr>
            <w:r w:rsidRPr="00D9013D">
              <w:rPr>
                <w:sz w:val="20"/>
                <w:szCs w:val="20"/>
              </w:rPr>
              <w:t>14</w:t>
            </w:r>
          </w:p>
        </w:tc>
        <w:tc>
          <w:tcPr>
            <w:tcW w:w="2688" w:type="dxa"/>
            <w:shd w:val="clear" w:color="auto" w:fill="E7E6E6" w:themeFill="background2"/>
          </w:tcPr>
          <w:p w14:paraId="08192823" w14:textId="77777777" w:rsidR="00945A32" w:rsidRPr="00984F4A" w:rsidRDefault="00945A32" w:rsidP="00B5032F">
            <w:pPr>
              <w:rPr>
                <w:sz w:val="20"/>
                <w:szCs w:val="20"/>
              </w:rPr>
            </w:pPr>
            <w:r w:rsidRPr="00984F4A">
              <w:rPr>
                <w:sz w:val="20"/>
                <w:szCs w:val="20"/>
              </w:rPr>
              <w:t>Bidding provider maintains a robust information security program, we may require some adjustments to this section. Is the State of Wisconsin open to modification of this section?</w:t>
            </w:r>
          </w:p>
        </w:tc>
        <w:tc>
          <w:tcPr>
            <w:tcW w:w="3264" w:type="dxa"/>
            <w:gridSpan w:val="2"/>
            <w:shd w:val="clear" w:color="auto" w:fill="E7E6E6" w:themeFill="background2"/>
          </w:tcPr>
          <w:p w14:paraId="48257C23" w14:textId="77777777" w:rsidR="00945A32" w:rsidRPr="00D9013D" w:rsidRDefault="00945A32" w:rsidP="00B5032F">
            <w:pPr>
              <w:rPr>
                <w:sz w:val="20"/>
                <w:szCs w:val="20"/>
              </w:rPr>
            </w:pPr>
            <w:r w:rsidRPr="00D9013D">
              <w:rPr>
                <w:sz w:val="20"/>
                <w:szCs w:val="20"/>
              </w:rPr>
              <w:t xml:space="preserve">The Department is open to discussing contract terms during negotiations as described in RFP Sections 2.4.1 - Instructions for Submitting Assumptions and Exceptions and 2.4.2 - IMPORTANT: Supplemental Information – Department Terms and Conditions. </w:t>
            </w:r>
          </w:p>
          <w:p w14:paraId="6118381C" w14:textId="77777777" w:rsidR="00945A32" w:rsidRPr="00D9013D" w:rsidRDefault="00945A32" w:rsidP="00B5032F">
            <w:pPr>
              <w:rPr>
                <w:sz w:val="20"/>
                <w:szCs w:val="20"/>
              </w:rPr>
            </w:pPr>
            <w:r w:rsidRPr="00D9013D">
              <w:rPr>
                <w:sz w:val="20"/>
                <w:szCs w:val="20"/>
              </w:rPr>
              <w:t xml:space="preserve">See RFP ETD0052-53 Addendum No. 1 that was sent to vendors on May 30, 2024. Addendum No. 1 is available at </w:t>
            </w:r>
            <w:hyperlink r:id="rId11" w:history="1">
              <w:r w:rsidRPr="00D9013D">
                <w:rPr>
                  <w:rStyle w:val="Hyperlink"/>
                  <w:sz w:val="20"/>
                  <w:szCs w:val="20"/>
                </w:rPr>
                <w:t>https://etf.wi.gov/node/35441</w:t>
              </w:r>
            </w:hyperlink>
            <w:r w:rsidRPr="00D9013D">
              <w:rPr>
                <w:sz w:val="20"/>
                <w:szCs w:val="20"/>
              </w:rPr>
              <w:t xml:space="preserve">. </w:t>
            </w:r>
          </w:p>
          <w:p w14:paraId="792D6B80" w14:textId="77777777" w:rsidR="00945A32" w:rsidRPr="004128BC" w:rsidRDefault="00945A32" w:rsidP="00B5032F">
            <w:pPr>
              <w:rPr>
                <w:sz w:val="20"/>
                <w:szCs w:val="20"/>
              </w:rPr>
            </w:pPr>
            <w:r w:rsidRPr="00D9013D">
              <w:rPr>
                <w:sz w:val="20"/>
                <w:szCs w:val="20"/>
              </w:rPr>
              <w:t>See the language in RFP Section 2.4.2.</w:t>
            </w:r>
          </w:p>
        </w:tc>
      </w:tr>
      <w:tr w:rsidR="00B27F16" w:rsidRPr="004128BC" w14:paraId="2BF260DA" w14:textId="77777777" w:rsidTr="00B27F16">
        <w:tc>
          <w:tcPr>
            <w:tcW w:w="733" w:type="dxa"/>
            <w:gridSpan w:val="2"/>
            <w:shd w:val="clear" w:color="auto" w:fill="D5DCE4" w:themeFill="text2" w:themeFillTint="33"/>
          </w:tcPr>
          <w:p w14:paraId="3E0CA772" w14:textId="77777777" w:rsidR="00945A32" w:rsidRPr="004128BC" w:rsidRDefault="00945A32" w:rsidP="00B5032F">
            <w:pPr>
              <w:jc w:val="both"/>
              <w:rPr>
                <w:sz w:val="20"/>
                <w:szCs w:val="20"/>
              </w:rPr>
            </w:pPr>
            <w:r w:rsidRPr="004128BC">
              <w:rPr>
                <w:sz w:val="20"/>
                <w:szCs w:val="20"/>
              </w:rPr>
              <w:t>Q9</w:t>
            </w:r>
          </w:p>
        </w:tc>
        <w:tc>
          <w:tcPr>
            <w:tcW w:w="2237" w:type="dxa"/>
            <w:shd w:val="clear" w:color="auto" w:fill="D5DCE4" w:themeFill="text2" w:themeFillTint="33"/>
          </w:tcPr>
          <w:p w14:paraId="06809BAE" w14:textId="77777777" w:rsidR="00945A32" w:rsidRPr="00984F4A" w:rsidRDefault="00945A32" w:rsidP="00B5032F">
            <w:pPr>
              <w:rPr>
                <w:sz w:val="20"/>
                <w:szCs w:val="20"/>
              </w:rPr>
            </w:pPr>
            <w:r w:rsidRPr="00984F4A">
              <w:rPr>
                <w:sz w:val="20"/>
                <w:szCs w:val="20"/>
              </w:rPr>
              <w:t>RFP Section 1.5</w:t>
            </w:r>
            <w:r w:rsidRPr="00D9013D">
              <w:rPr>
                <w:sz w:val="20"/>
                <w:szCs w:val="20"/>
              </w:rPr>
              <w:t xml:space="preserve"> HSA Benefit Program</w:t>
            </w:r>
          </w:p>
        </w:tc>
        <w:tc>
          <w:tcPr>
            <w:tcW w:w="1111" w:type="dxa"/>
            <w:gridSpan w:val="2"/>
            <w:shd w:val="clear" w:color="auto" w:fill="D5DCE4" w:themeFill="text2" w:themeFillTint="33"/>
          </w:tcPr>
          <w:p w14:paraId="0EE11ED5" w14:textId="77777777" w:rsidR="00945A32" w:rsidRPr="00D9013D" w:rsidRDefault="00945A32" w:rsidP="00B5032F">
            <w:pPr>
              <w:rPr>
                <w:sz w:val="20"/>
                <w:szCs w:val="20"/>
              </w:rPr>
            </w:pPr>
            <w:r w:rsidRPr="00D9013D">
              <w:rPr>
                <w:sz w:val="20"/>
                <w:szCs w:val="20"/>
              </w:rPr>
              <w:t>6</w:t>
            </w:r>
          </w:p>
        </w:tc>
        <w:tc>
          <w:tcPr>
            <w:tcW w:w="2688" w:type="dxa"/>
            <w:shd w:val="clear" w:color="auto" w:fill="D5DCE4" w:themeFill="text2" w:themeFillTint="33"/>
          </w:tcPr>
          <w:p w14:paraId="6D6882D4" w14:textId="77777777" w:rsidR="00945A32" w:rsidRPr="00984F4A" w:rsidRDefault="00945A32" w:rsidP="00B5032F">
            <w:pPr>
              <w:rPr>
                <w:sz w:val="20"/>
                <w:szCs w:val="20"/>
              </w:rPr>
            </w:pPr>
            <w:r w:rsidRPr="00984F4A">
              <w:rPr>
                <w:sz w:val="20"/>
                <w:szCs w:val="20"/>
              </w:rPr>
              <w:t>What is the total dollar amount of invested balances?</w:t>
            </w:r>
          </w:p>
        </w:tc>
        <w:tc>
          <w:tcPr>
            <w:tcW w:w="3264" w:type="dxa"/>
            <w:gridSpan w:val="2"/>
            <w:shd w:val="clear" w:color="auto" w:fill="D5DCE4" w:themeFill="text2" w:themeFillTint="33"/>
          </w:tcPr>
          <w:p w14:paraId="5D6FFAB9" w14:textId="77777777" w:rsidR="00945A32" w:rsidRPr="004128BC" w:rsidRDefault="00945A32" w:rsidP="00B5032F">
            <w:pPr>
              <w:rPr>
                <w:sz w:val="20"/>
                <w:szCs w:val="20"/>
              </w:rPr>
            </w:pPr>
            <w:r w:rsidRPr="00D9013D">
              <w:rPr>
                <w:sz w:val="20"/>
                <w:szCs w:val="20"/>
              </w:rPr>
              <w:t xml:space="preserve">$31.1 million as of January 31, 2024. </w:t>
            </w:r>
          </w:p>
        </w:tc>
      </w:tr>
      <w:tr w:rsidR="00B27F16" w:rsidRPr="004128BC" w14:paraId="0B4A9DC5" w14:textId="77777777" w:rsidTr="00B27F16">
        <w:tc>
          <w:tcPr>
            <w:tcW w:w="733" w:type="dxa"/>
            <w:gridSpan w:val="2"/>
            <w:shd w:val="clear" w:color="auto" w:fill="E7E6E6" w:themeFill="background2"/>
          </w:tcPr>
          <w:p w14:paraId="0C7A5647" w14:textId="77777777" w:rsidR="00945A32" w:rsidRPr="004128BC" w:rsidRDefault="00945A32" w:rsidP="00B5032F">
            <w:pPr>
              <w:jc w:val="both"/>
              <w:rPr>
                <w:sz w:val="20"/>
                <w:szCs w:val="20"/>
              </w:rPr>
            </w:pPr>
            <w:r w:rsidRPr="004128BC">
              <w:rPr>
                <w:sz w:val="20"/>
                <w:szCs w:val="20"/>
              </w:rPr>
              <w:t>Q10</w:t>
            </w:r>
          </w:p>
        </w:tc>
        <w:tc>
          <w:tcPr>
            <w:tcW w:w="2237" w:type="dxa"/>
            <w:shd w:val="clear" w:color="auto" w:fill="E7E6E6" w:themeFill="background2"/>
          </w:tcPr>
          <w:p w14:paraId="4C4C956B" w14:textId="77777777" w:rsidR="00945A32" w:rsidRPr="00984F4A" w:rsidRDefault="00945A32" w:rsidP="00B5032F">
            <w:pPr>
              <w:rPr>
                <w:sz w:val="20"/>
                <w:szCs w:val="20"/>
              </w:rPr>
            </w:pPr>
            <w:r w:rsidRPr="00D9013D">
              <w:rPr>
                <w:sz w:val="20"/>
                <w:szCs w:val="20"/>
              </w:rPr>
              <w:t>RFP Section 1.10 Benefit Program Administration</w:t>
            </w:r>
          </w:p>
        </w:tc>
        <w:tc>
          <w:tcPr>
            <w:tcW w:w="1111" w:type="dxa"/>
            <w:gridSpan w:val="2"/>
            <w:shd w:val="clear" w:color="auto" w:fill="E7E6E6" w:themeFill="background2"/>
          </w:tcPr>
          <w:p w14:paraId="310D097B" w14:textId="77777777" w:rsidR="00945A32" w:rsidRPr="00D9013D" w:rsidRDefault="00945A32" w:rsidP="00B5032F">
            <w:pPr>
              <w:rPr>
                <w:sz w:val="20"/>
                <w:szCs w:val="20"/>
              </w:rPr>
            </w:pPr>
            <w:r w:rsidRPr="00D9013D">
              <w:rPr>
                <w:sz w:val="20"/>
                <w:szCs w:val="20"/>
              </w:rPr>
              <w:t>9</w:t>
            </w:r>
          </w:p>
        </w:tc>
        <w:tc>
          <w:tcPr>
            <w:tcW w:w="2688" w:type="dxa"/>
            <w:shd w:val="clear" w:color="auto" w:fill="E7E6E6" w:themeFill="background2"/>
          </w:tcPr>
          <w:p w14:paraId="5C3184D4" w14:textId="77777777" w:rsidR="00945A32" w:rsidRPr="00984F4A" w:rsidRDefault="00945A32" w:rsidP="00B5032F">
            <w:pPr>
              <w:rPr>
                <w:sz w:val="20"/>
                <w:szCs w:val="20"/>
              </w:rPr>
            </w:pPr>
            <w:r w:rsidRPr="00984F4A">
              <w:rPr>
                <w:sz w:val="20"/>
                <w:szCs w:val="20"/>
              </w:rPr>
              <w:t>Are the 9 different Payroll Centers paying the admin fees for their applicable agencies via separate bills? </w:t>
            </w:r>
          </w:p>
        </w:tc>
        <w:tc>
          <w:tcPr>
            <w:tcW w:w="3264" w:type="dxa"/>
            <w:gridSpan w:val="2"/>
            <w:shd w:val="clear" w:color="auto" w:fill="E7E6E6" w:themeFill="background2"/>
          </w:tcPr>
          <w:p w14:paraId="72C1AE5A" w14:textId="77777777" w:rsidR="00945A32" w:rsidRPr="004128BC" w:rsidRDefault="00945A32" w:rsidP="00B5032F">
            <w:pPr>
              <w:rPr>
                <w:sz w:val="20"/>
                <w:szCs w:val="20"/>
              </w:rPr>
            </w:pPr>
            <w:r>
              <w:rPr>
                <w:sz w:val="20"/>
                <w:szCs w:val="20"/>
              </w:rPr>
              <w:t xml:space="preserve">The Contractor sends a total invoice for the Contractor's administrative fees to the Department for payment. </w:t>
            </w:r>
            <w:r w:rsidRPr="00D9013D">
              <w:rPr>
                <w:sz w:val="20"/>
                <w:szCs w:val="20"/>
              </w:rPr>
              <w:t>The Department the</w:t>
            </w:r>
            <w:r>
              <w:rPr>
                <w:sz w:val="20"/>
                <w:szCs w:val="20"/>
              </w:rPr>
              <w:t>n pays the</w:t>
            </w:r>
            <w:r w:rsidRPr="00D9013D">
              <w:rPr>
                <w:sz w:val="20"/>
                <w:szCs w:val="20"/>
              </w:rPr>
              <w:t xml:space="preserve"> Contractor </w:t>
            </w:r>
            <w:r w:rsidRPr="00D9013D" w:rsidDel="006C7D65">
              <w:rPr>
                <w:sz w:val="20"/>
                <w:szCs w:val="20"/>
              </w:rPr>
              <w:t xml:space="preserve">for </w:t>
            </w:r>
            <w:r>
              <w:rPr>
                <w:sz w:val="20"/>
                <w:szCs w:val="20"/>
              </w:rPr>
              <w:t>the</w:t>
            </w:r>
            <w:r w:rsidRPr="00D9013D" w:rsidDel="006C7D65">
              <w:rPr>
                <w:sz w:val="20"/>
                <w:szCs w:val="20"/>
              </w:rPr>
              <w:t xml:space="preserve"> </w:t>
            </w:r>
            <w:r w:rsidRPr="00D9013D">
              <w:rPr>
                <w:sz w:val="20"/>
                <w:szCs w:val="20"/>
              </w:rPr>
              <w:t xml:space="preserve">administrative fees. The </w:t>
            </w:r>
            <w:r>
              <w:rPr>
                <w:sz w:val="20"/>
                <w:szCs w:val="20"/>
              </w:rPr>
              <w:t>Department handles reimbursement between the Department and the 9 different Payroll Centers</w:t>
            </w:r>
            <w:r w:rsidRPr="00D9013D" w:rsidDel="001F3805">
              <w:rPr>
                <w:sz w:val="20"/>
                <w:szCs w:val="20"/>
              </w:rPr>
              <w:t>.</w:t>
            </w:r>
            <w:r w:rsidRPr="00D9013D">
              <w:rPr>
                <w:sz w:val="20"/>
                <w:szCs w:val="20"/>
              </w:rPr>
              <w:t xml:space="preserve"> </w:t>
            </w:r>
          </w:p>
        </w:tc>
      </w:tr>
      <w:tr w:rsidR="00B27F16" w:rsidRPr="004128BC" w14:paraId="45A5CBD7" w14:textId="77777777" w:rsidTr="00B27F16">
        <w:tc>
          <w:tcPr>
            <w:tcW w:w="733" w:type="dxa"/>
            <w:gridSpan w:val="2"/>
            <w:shd w:val="clear" w:color="auto" w:fill="D5DCE4" w:themeFill="text2" w:themeFillTint="33"/>
          </w:tcPr>
          <w:p w14:paraId="489357C5" w14:textId="77777777" w:rsidR="00945A32" w:rsidRPr="004128BC" w:rsidRDefault="00945A32" w:rsidP="00B5032F">
            <w:pPr>
              <w:jc w:val="both"/>
              <w:rPr>
                <w:sz w:val="20"/>
                <w:szCs w:val="20"/>
              </w:rPr>
            </w:pPr>
            <w:r w:rsidRPr="004128BC">
              <w:rPr>
                <w:sz w:val="20"/>
                <w:szCs w:val="20"/>
              </w:rPr>
              <w:t>Q11</w:t>
            </w:r>
          </w:p>
        </w:tc>
        <w:tc>
          <w:tcPr>
            <w:tcW w:w="2237" w:type="dxa"/>
            <w:shd w:val="clear" w:color="auto" w:fill="D5DCE4" w:themeFill="text2" w:themeFillTint="33"/>
          </w:tcPr>
          <w:p w14:paraId="579B0C2A" w14:textId="77777777" w:rsidR="00945A32" w:rsidRPr="00984F4A" w:rsidRDefault="00945A32" w:rsidP="00B5032F">
            <w:pPr>
              <w:rPr>
                <w:sz w:val="20"/>
                <w:szCs w:val="20"/>
              </w:rPr>
            </w:pPr>
            <w:r w:rsidRPr="00D9013D">
              <w:rPr>
                <w:sz w:val="20"/>
                <w:szCs w:val="20"/>
              </w:rPr>
              <w:t>RFP Section 1.6 ERA Benefit Program</w:t>
            </w:r>
          </w:p>
        </w:tc>
        <w:tc>
          <w:tcPr>
            <w:tcW w:w="1111" w:type="dxa"/>
            <w:gridSpan w:val="2"/>
            <w:shd w:val="clear" w:color="auto" w:fill="D5DCE4" w:themeFill="text2" w:themeFillTint="33"/>
          </w:tcPr>
          <w:p w14:paraId="722E7ACD" w14:textId="77777777" w:rsidR="00945A32" w:rsidRPr="00D9013D" w:rsidRDefault="00945A32" w:rsidP="00B5032F">
            <w:pPr>
              <w:rPr>
                <w:sz w:val="20"/>
                <w:szCs w:val="20"/>
              </w:rPr>
            </w:pPr>
            <w:r w:rsidRPr="00D9013D">
              <w:rPr>
                <w:sz w:val="20"/>
                <w:szCs w:val="20"/>
              </w:rPr>
              <w:t>6</w:t>
            </w:r>
          </w:p>
        </w:tc>
        <w:tc>
          <w:tcPr>
            <w:tcW w:w="2688" w:type="dxa"/>
            <w:shd w:val="clear" w:color="auto" w:fill="D5DCE4" w:themeFill="text2" w:themeFillTint="33"/>
          </w:tcPr>
          <w:p w14:paraId="7C29F89D" w14:textId="77777777" w:rsidR="00945A32" w:rsidRPr="00984F4A" w:rsidRDefault="00945A32" w:rsidP="00B5032F">
            <w:pPr>
              <w:rPr>
                <w:sz w:val="20"/>
                <w:szCs w:val="20"/>
              </w:rPr>
            </w:pPr>
            <w:r w:rsidRPr="00984F4A">
              <w:rPr>
                <w:sz w:val="20"/>
                <w:szCs w:val="20"/>
              </w:rPr>
              <w:t>LPFSA participation decreased significantly in 2024 – is there a reason for that?</w:t>
            </w:r>
          </w:p>
        </w:tc>
        <w:tc>
          <w:tcPr>
            <w:tcW w:w="3264" w:type="dxa"/>
            <w:gridSpan w:val="2"/>
            <w:shd w:val="clear" w:color="auto" w:fill="D5DCE4" w:themeFill="text2" w:themeFillTint="33"/>
          </w:tcPr>
          <w:p w14:paraId="71339FD6" w14:textId="77777777" w:rsidR="00945A32" w:rsidRPr="00D9013D" w:rsidRDefault="00945A32" w:rsidP="00B5032F">
            <w:pPr>
              <w:spacing w:after="60"/>
              <w:rPr>
                <w:sz w:val="20"/>
                <w:szCs w:val="20"/>
              </w:rPr>
            </w:pPr>
            <w:r w:rsidRPr="00D9013D">
              <w:rPr>
                <w:sz w:val="20"/>
                <w:szCs w:val="20"/>
              </w:rPr>
              <w:t xml:space="preserve">The 2024 participation number in the RFP is based on January 2024 enrollments only and does not include carryover accounts for FSA programs. </w:t>
            </w:r>
            <w:r>
              <w:rPr>
                <w:sz w:val="20"/>
                <w:szCs w:val="20"/>
              </w:rPr>
              <w:t>Participants</w:t>
            </w:r>
            <w:r w:rsidDel="000879D2">
              <w:rPr>
                <w:sz w:val="20"/>
                <w:szCs w:val="20"/>
              </w:rPr>
              <w:t xml:space="preserve"> </w:t>
            </w:r>
            <w:r>
              <w:rPr>
                <w:sz w:val="20"/>
                <w:szCs w:val="20"/>
              </w:rPr>
              <w:t>with c</w:t>
            </w:r>
            <w:r w:rsidRPr="00D9013D">
              <w:rPr>
                <w:sz w:val="20"/>
                <w:szCs w:val="20"/>
              </w:rPr>
              <w:t xml:space="preserve">arryover balances </w:t>
            </w:r>
            <w:r>
              <w:rPr>
                <w:sz w:val="20"/>
                <w:szCs w:val="20"/>
              </w:rPr>
              <w:t xml:space="preserve">from 2023 </w:t>
            </w:r>
            <w:r w:rsidRPr="00D9013D">
              <w:rPr>
                <w:sz w:val="20"/>
                <w:szCs w:val="20"/>
              </w:rPr>
              <w:t xml:space="preserve">without a </w:t>
            </w:r>
            <w:r>
              <w:rPr>
                <w:sz w:val="20"/>
                <w:szCs w:val="20"/>
              </w:rPr>
              <w:t xml:space="preserve">2024 </w:t>
            </w:r>
            <w:r w:rsidRPr="00D9013D">
              <w:rPr>
                <w:sz w:val="20"/>
                <w:szCs w:val="20"/>
              </w:rPr>
              <w:t xml:space="preserve">enrollment election were </w:t>
            </w:r>
            <w:r>
              <w:rPr>
                <w:sz w:val="20"/>
                <w:szCs w:val="20"/>
              </w:rPr>
              <w:t xml:space="preserve">not enrolled into an FSA in 2024 until </w:t>
            </w:r>
            <w:r w:rsidRPr="00D9013D">
              <w:rPr>
                <w:sz w:val="20"/>
                <w:szCs w:val="20"/>
              </w:rPr>
              <w:t xml:space="preserve">April 15, 2024. </w:t>
            </w:r>
          </w:p>
          <w:p w14:paraId="6487B7DF" w14:textId="77777777" w:rsidR="00945A32" w:rsidRPr="004128BC" w:rsidRDefault="00945A32" w:rsidP="00B5032F">
            <w:pPr>
              <w:rPr>
                <w:sz w:val="20"/>
                <w:szCs w:val="20"/>
              </w:rPr>
            </w:pPr>
            <w:r w:rsidRPr="00D9013D">
              <w:rPr>
                <w:sz w:val="20"/>
                <w:szCs w:val="20"/>
              </w:rPr>
              <w:t>Based on the May 2024 invoice, a total of 1,012 active members have an LPFSA</w:t>
            </w:r>
            <w:r>
              <w:rPr>
                <w:sz w:val="20"/>
                <w:szCs w:val="20"/>
              </w:rPr>
              <w:t xml:space="preserve"> and 17,559 active members have an FSA</w:t>
            </w:r>
            <w:r w:rsidRPr="00D9013D">
              <w:rPr>
                <w:sz w:val="20"/>
                <w:szCs w:val="20"/>
              </w:rPr>
              <w:t xml:space="preserve">. </w:t>
            </w:r>
          </w:p>
        </w:tc>
      </w:tr>
      <w:tr w:rsidR="00B27F16" w:rsidRPr="004128BC" w14:paraId="778943FB" w14:textId="77777777" w:rsidTr="00B27F16">
        <w:tc>
          <w:tcPr>
            <w:tcW w:w="733" w:type="dxa"/>
            <w:gridSpan w:val="2"/>
            <w:shd w:val="clear" w:color="auto" w:fill="E7E6E6" w:themeFill="background2"/>
          </w:tcPr>
          <w:p w14:paraId="0489CB2E" w14:textId="77777777" w:rsidR="00945A32" w:rsidRPr="004128BC" w:rsidRDefault="00945A32" w:rsidP="00B5032F">
            <w:pPr>
              <w:jc w:val="both"/>
              <w:rPr>
                <w:sz w:val="20"/>
                <w:szCs w:val="20"/>
              </w:rPr>
            </w:pPr>
            <w:r w:rsidRPr="004128BC">
              <w:rPr>
                <w:sz w:val="20"/>
                <w:szCs w:val="20"/>
              </w:rPr>
              <w:t>Q12</w:t>
            </w:r>
          </w:p>
        </w:tc>
        <w:tc>
          <w:tcPr>
            <w:tcW w:w="2237" w:type="dxa"/>
            <w:shd w:val="clear" w:color="auto" w:fill="E7E6E6" w:themeFill="background2"/>
          </w:tcPr>
          <w:p w14:paraId="35444F8C" w14:textId="77777777" w:rsidR="00945A32" w:rsidRPr="00D9013D" w:rsidRDefault="00945A32" w:rsidP="00B5032F">
            <w:pPr>
              <w:rPr>
                <w:sz w:val="20"/>
                <w:szCs w:val="20"/>
              </w:rPr>
            </w:pPr>
            <w:r w:rsidRPr="00D9013D">
              <w:rPr>
                <w:sz w:val="20"/>
                <w:szCs w:val="20"/>
              </w:rPr>
              <w:t xml:space="preserve">RFP Section 7.9.8.h. </w:t>
            </w:r>
          </w:p>
          <w:p w14:paraId="18AC6B4E" w14:textId="77777777" w:rsidR="00945A32" w:rsidRPr="00D9013D" w:rsidRDefault="00945A32" w:rsidP="00B5032F">
            <w:pPr>
              <w:rPr>
                <w:i/>
                <w:sz w:val="20"/>
                <w:szCs w:val="20"/>
              </w:rPr>
            </w:pPr>
            <w:r w:rsidRPr="00D9013D">
              <w:rPr>
                <w:i/>
                <w:iCs/>
                <w:sz w:val="20"/>
                <w:szCs w:val="20"/>
              </w:rPr>
              <w:t xml:space="preserve">The debit card suspension/reinstatement process, including when, how and the nature of communications that </w:t>
            </w:r>
            <w:r w:rsidRPr="00D9013D">
              <w:rPr>
                <w:i/>
                <w:iCs/>
                <w:sz w:val="20"/>
                <w:szCs w:val="20"/>
              </w:rPr>
              <w:lastRenderedPageBreak/>
              <w:t>are sent to participants on this matter.</w:t>
            </w:r>
          </w:p>
        </w:tc>
        <w:tc>
          <w:tcPr>
            <w:tcW w:w="1111" w:type="dxa"/>
            <w:gridSpan w:val="2"/>
            <w:shd w:val="clear" w:color="auto" w:fill="E7E6E6" w:themeFill="background2"/>
          </w:tcPr>
          <w:p w14:paraId="299D40B7" w14:textId="77777777" w:rsidR="00945A32" w:rsidRPr="00D9013D" w:rsidRDefault="00945A32" w:rsidP="00B5032F">
            <w:pPr>
              <w:rPr>
                <w:sz w:val="20"/>
                <w:szCs w:val="20"/>
              </w:rPr>
            </w:pPr>
            <w:r w:rsidRPr="00D9013D">
              <w:rPr>
                <w:sz w:val="20"/>
                <w:szCs w:val="20"/>
              </w:rPr>
              <w:lastRenderedPageBreak/>
              <w:t>55</w:t>
            </w:r>
          </w:p>
        </w:tc>
        <w:tc>
          <w:tcPr>
            <w:tcW w:w="2688" w:type="dxa"/>
            <w:shd w:val="clear" w:color="auto" w:fill="E7E6E6" w:themeFill="background2"/>
          </w:tcPr>
          <w:p w14:paraId="10C87ADC" w14:textId="77777777" w:rsidR="00945A32" w:rsidRPr="00984F4A" w:rsidRDefault="00945A32" w:rsidP="00B5032F">
            <w:pPr>
              <w:rPr>
                <w:sz w:val="20"/>
                <w:szCs w:val="20"/>
              </w:rPr>
            </w:pPr>
            <w:r w:rsidRPr="00984F4A">
              <w:rPr>
                <w:sz w:val="20"/>
                <w:szCs w:val="20"/>
              </w:rPr>
              <w:t xml:space="preserve">When talking about debit card suspension, are you wanting to suspend the entire debit card or just the ‘purse’ for the account that has unsubstantiated documents? (e.g. if the </w:t>
            </w:r>
            <w:r w:rsidRPr="00984F4A">
              <w:rPr>
                <w:sz w:val="20"/>
                <w:szCs w:val="20"/>
              </w:rPr>
              <w:lastRenderedPageBreak/>
              <w:t>LPFSA claim is unsubstantiated and needs to be suspended, do you leave the HSA ‘purse’ open for debit card swipes?)</w:t>
            </w:r>
          </w:p>
        </w:tc>
        <w:tc>
          <w:tcPr>
            <w:tcW w:w="3264" w:type="dxa"/>
            <w:gridSpan w:val="2"/>
            <w:shd w:val="clear" w:color="auto" w:fill="E7E6E6" w:themeFill="background2"/>
          </w:tcPr>
          <w:p w14:paraId="761DFD3F" w14:textId="77777777" w:rsidR="00945A32" w:rsidRPr="004128BC" w:rsidRDefault="00945A32" w:rsidP="00B5032F">
            <w:pPr>
              <w:rPr>
                <w:sz w:val="20"/>
                <w:szCs w:val="20"/>
              </w:rPr>
            </w:pPr>
            <w:r>
              <w:rPr>
                <w:sz w:val="20"/>
                <w:szCs w:val="20"/>
              </w:rPr>
              <w:lastRenderedPageBreak/>
              <w:t xml:space="preserve">Suspension will occur on the </w:t>
            </w:r>
            <w:r w:rsidRPr="00D9013D">
              <w:rPr>
                <w:sz w:val="20"/>
                <w:szCs w:val="20"/>
              </w:rPr>
              <w:t>‘purse’</w:t>
            </w:r>
            <w:r>
              <w:rPr>
                <w:sz w:val="20"/>
                <w:szCs w:val="20"/>
              </w:rPr>
              <w:t xml:space="preserve"> for the account that has unsubstantiated claims. The HSA </w:t>
            </w:r>
            <w:r w:rsidRPr="00D9013D">
              <w:rPr>
                <w:sz w:val="20"/>
                <w:szCs w:val="20"/>
              </w:rPr>
              <w:t>'purse’ will remain</w:t>
            </w:r>
            <w:r>
              <w:rPr>
                <w:sz w:val="20"/>
                <w:szCs w:val="20"/>
              </w:rPr>
              <w:t xml:space="preserve"> open for debit card swipes. </w:t>
            </w:r>
          </w:p>
        </w:tc>
      </w:tr>
      <w:tr w:rsidR="00B27F16" w:rsidRPr="004128BC" w14:paraId="124A212F" w14:textId="77777777" w:rsidTr="00B27F16">
        <w:tc>
          <w:tcPr>
            <w:tcW w:w="733" w:type="dxa"/>
            <w:gridSpan w:val="2"/>
            <w:shd w:val="clear" w:color="auto" w:fill="D5DCE4" w:themeFill="text2" w:themeFillTint="33"/>
          </w:tcPr>
          <w:p w14:paraId="6801FC2D" w14:textId="77777777" w:rsidR="00945A32" w:rsidRPr="004128BC" w:rsidRDefault="00945A32" w:rsidP="00B5032F">
            <w:pPr>
              <w:jc w:val="both"/>
              <w:rPr>
                <w:sz w:val="20"/>
                <w:szCs w:val="20"/>
              </w:rPr>
            </w:pPr>
            <w:r w:rsidRPr="004128BC">
              <w:rPr>
                <w:sz w:val="20"/>
                <w:szCs w:val="20"/>
              </w:rPr>
              <w:t>Q13</w:t>
            </w:r>
          </w:p>
        </w:tc>
        <w:tc>
          <w:tcPr>
            <w:tcW w:w="2237" w:type="dxa"/>
            <w:shd w:val="clear" w:color="auto" w:fill="D5DCE4" w:themeFill="text2" w:themeFillTint="33"/>
          </w:tcPr>
          <w:p w14:paraId="2F343E43" w14:textId="77777777" w:rsidR="00945A32" w:rsidRPr="00D9013D" w:rsidRDefault="00945A32" w:rsidP="00B5032F">
            <w:pPr>
              <w:rPr>
                <w:sz w:val="20"/>
                <w:szCs w:val="20"/>
              </w:rPr>
            </w:pPr>
            <w:r w:rsidRPr="00D9013D">
              <w:rPr>
                <w:sz w:val="20"/>
                <w:szCs w:val="20"/>
              </w:rPr>
              <w:t xml:space="preserve">RFP </w:t>
            </w:r>
            <w:r w:rsidRPr="00984F4A">
              <w:rPr>
                <w:sz w:val="20"/>
                <w:szCs w:val="20"/>
              </w:rPr>
              <w:t>Appendix 11</w:t>
            </w:r>
          </w:p>
          <w:p w14:paraId="02456A1C" w14:textId="77777777" w:rsidR="00945A32" w:rsidRPr="00984F4A" w:rsidRDefault="00945A32" w:rsidP="00B5032F">
            <w:pPr>
              <w:rPr>
                <w:sz w:val="20"/>
                <w:szCs w:val="20"/>
              </w:rPr>
            </w:pPr>
            <w:r w:rsidRPr="00D9013D">
              <w:rPr>
                <w:sz w:val="20"/>
                <w:szCs w:val="20"/>
              </w:rPr>
              <w:t>Enrollment and Contribution File Specifications</w:t>
            </w:r>
          </w:p>
        </w:tc>
        <w:tc>
          <w:tcPr>
            <w:tcW w:w="1111" w:type="dxa"/>
            <w:gridSpan w:val="2"/>
            <w:shd w:val="clear" w:color="auto" w:fill="D5DCE4" w:themeFill="text2" w:themeFillTint="33"/>
          </w:tcPr>
          <w:p w14:paraId="3C045883" w14:textId="77777777" w:rsidR="00945A32" w:rsidRPr="00D9013D" w:rsidRDefault="00945A32" w:rsidP="00B5032F">
            <w:pPr>
              <w:rPr>
                <w:sz w:val="20"/>
                <w:szCs w:val="20"/>
              </w:rPr>
            </w:pPr>
            <w:r w:rsidRPr="00D9013D">
              <w:rPr>
                <w:sz w:val="20"/>
                <w:szCs w:val="20"/>
              </w:rPr>
              <w:t>12</w:t>
            </w:r>
          </w:p>
        </w:tc>
        <w:tc>
          <w:tcPr>
            <w:tcW w:w="2688" w:type="dxa"/>
            <w:shd w:val="clear" w:color="auto" w:fill="D5DCE4" w:themeFill="text2" w:themeFillTint="33"/>
          </w:tcPr>
          <w:p w14:paraId="0DC4771B" w14:textId="77777777" w:rsidR="00945A32" w:rsidRPr="00984F4A" w:rsidRDefault="00945A32" w:rsidP="00B5032F">
            <w:pPr>
              <w:rPr>
                <w:sz w:val="20"/>
                <w:szCs w:val="20"/>
              </w:rPr>
            </w:pPr>
            <w:r w:rsidRPr="00984F4A">
              <w:rPr>
                <w:rStyle w:val="ui-provider"/>
                <w:sz w:val="20"/>
                <w:szCs w:val="20"/>
              </w:rPr>
              <w:t>12 #5, it states that we can establish a file format in conjunction with the Department, and there is an Appendix 11 file layout provided. Is this a sample file format, or is that the file format the Department needs to use? Are we able to suggest another file format or suggest adjustments that would allow us to better automate the files with our system?</w:t>
            </w:r>
          </w:p>
        </w:tc>
        <w:tc>
          <w:tcPr>
            <w:tcW w:w="3264" w:type="dxa"/>
            <w:gridSpan w:val="2"/>
            <w:shd w:val="clear" w:color="auto" w:fill="D5DCE4" w:themeFill="text2" w:themeFillTint="33"/>
          </w:tcPr>
          <w:p w14:paraId="451A054C" w14:textId="77777777" w:rsidR="00945A32" w:rsidRPr="004128BC" w:rsidRDefault="00945A32" w:rsidP="00B5032F">
            <w:pPr>
              <w:rPr>
                <w:sz w:val="20"/>
                <w:szCs w:val="20"/>
              </w:rPr>
            </w:pPr>
            <w:r w:rsidRPr="00D9013D">
              <w:rPr>
                <w:sz w:val="20"/>
                <w:szCs w:val="20"/>
              </w:rPr>
              <w:t xml:space="preserve">The provided sample file format is the file specification that the Department uses. The Department is open to </w:t>
            </w:r>
            <w:r>
              <w:rPr>
                <w:sz w:val="20"/>
                <w:szCs w:val="20"/>
              </w:rPr>
              <w:t>improvements of</w:t>
            </w:r>
            <w:r w:rsidRPr="00D9013D">
              <w:rPr>
                <w:sz w:val="20"/>
                <w:szCs w:val="20"/>
              </w:rPr>
              <w:t xml:space="preserve"> </w:t>
            </w:r>
            <w:r>
              <w:rPr>
                <w:sz w:val="20"/>
                <w:szCs w:val="20"/>
              </w:rPr>
              <w:t xml:space="preserve">the </w:t>
            </w:r>
            <w:r w:rsidRPr="00D9013D">
              <w:rPr>
                <w:sz w:val="20"/>
                <w:szCs w:val="20"/>
              </w:rPr>
              <w:t>file spec</w:t>
            </w:r>
            <w:r>
              <w:rPr>
                <w:sz w:val="20"/>
                <w:szCs w:val="20"/>
              </w:rPr>
              <w:t>ification</w:t>
            </w:r>
            <w:r w:rsidRPr="00D9013D">
              <w:rPr>
                <w:sz w:val="20"/>
                <w:szCs w:val="20"/>
              </w:rPr>
              <w:t>s with the Contractor. However, the data field requirements in the sample file layout are required from the Contractor.</w:t>
            </w:r>
          </w:p>
        </w:tc>
      </w:tr>
      <w:tr w:rsidR="00B27F16" w:rsidRPr="004128BC" w14:paraId="2647B89E" w14:textId="77777777" w:rsidTr="00B27F16">
        <w:tblPrEx>
          <w:tblCellMar>
            <w:left w:w="0" w:type="dxa"/>
            <w:right w:w="0" w:type="dxa"/>
          </w:tblCellMar>
        </w:tblPrEx>
        <w:trPr>
          <w:gridAfter w:val="1"/>
          <w:wAfter w:w="13" w:type="dxa"/>
        </w:trPr>
        <w:tc>
          <w:tcPr>
            <w:tcW w:w="733" w:type="dxa"/>
            <w:gridSpan w:val="2"/>
            <w:shd w:val="clear" w:color="auto" w:fill="E7E6E6" w:themeFill="background2"/>
            <w:tcMar>
              <w:top w:w="0" w:type="dxa"/>
              <w:left w:w="108" w:type="dxa"/>
              <w:bottom w:w="0" w:type="dxa"/>
              <w:right w:w="108" w:type="dxa"/>
            </w:tcMar>
            <w:hideMark/>
          </w:tcPr>
          <w:p w14:paraId="40E7C31E" w14:textId="77777777" w:rsidR="00945A32" w:rsidRPr="004128BC" w:rsidRDefault="00945A32" w:rsidP="00B5032F">
            <w:pPr>
              <w:jc w:val="both"/>
              <w:rPr>
                <w:kern w:val="2"/>
                <w:sz w:val="20"/>
                <w:szCs w:val="20"/>
              </w:rPr>
            </w:pPr>
            <w:r w:rsidRPr="004128BC">
              <w:rPr>
                <w:color w:val="000000"/>
                <w:kern w:val="2"/>
                <w:sz w:val="20"/>
                <w:szCs w:val="20"/>
              </w:rPr>
              <w:t>Q14</w:t>
            </w:r>
          </w:p>
        </w:tc>
        <w:tc>
          <w:tcPr>
            <w:tcW w:w="2237" w:type="dxa"/>
            <w:shd w:val="clear" w:color="auto" w:fill="E7E6E6" w:themeFill="background2"/>
            <w:tcMar>
              <w:top w:w="0" w:type="dxa"/>
              <w:left w:w="108" w:type="dxa"/>
              <w:bottom w:w="0" w:type="dxa"/>
              <w:right w:w="108" w:type="dxa"/>
            </w:tcMar>
            <w:hideMark/>
          </w:tcPr>
          <w:p w14:paraId="163534D6" w14:textId="77777777" w:rsidR="00945A32" w:rsidRDefault="00945A32" w:rsidP="00B5032F">
            <w:pPr>
              <w:rPr>
                <w:kern w:val="2"/>
                <w:sz w:val="20"/>
                <w:szCs w:val="20"/>
              </w:rPr>
            </w:pPr>
            <w:r w:rsidRPr="00D9013D">
              <w:rPr>
                <w:kern w:val="2"/>
                <w:sz w:val="20"/>
                <w:szCs w:val="20"/>
              </w:rPr>
              <w:t xml:space="preserve">RFP </w:t>
            </w:r>
            <w:r w:rsidRPr="00984F4A">
              <w:rPr>
                <w:kern w:val="2"/>
                <w:sz w:val="20"/>
                <w:szCs w:val="20"/>
              </w:rPr>
              <w:t xml:space="preserve">Appendix 2 </w:t>
            </w:r>
            <w:r w:rsidRPr="00D9013D">
              <w:rPr>
                <w:kern w:val="2"/>
                <w:sz w:val="20"/>
                <w:szCs w:val="20"/>
              </w:rPr>
              <w:t>DTCs Section</w:t>
            </w:r>
            <w:r w:rsidRPr="00984F4A">
              <w:rPr>
                <w:kern w:val="2"/>
                <w:sz w:val="20"/>
                <w:szCs w:val="20"/>
              </w:rPr>
              <w:t xml:space="preserve"> 40.0</w:t>
            </w:r>
          </w:p>
          <w:p w14:paraId="1238AE8A" w14:textId="77777777" w:rsidR="00945A32" w:rsidRPr="00984F4A" w:rsidRDefault="00945A32" w:rsidP="00B5032F">
            <w:pPr>
              <w:rPr>
                <w:kern w:val="2"/>
                <w:sz w:val="20"/>
                <w:szCs w:val="20"/>
              </w:rPr>
            </w:pPr>
            <w:r>
              <w:rPr>
                <w:kern w:val="2"/>
                <w:sz w:val="20"/>
                <w:szCs w:val="20"/>
              </w:rPr>
              <w:t>Antitrust Assignment</w:t>
            </w:r>
          </w:p>
        </w:tc>
        <w:tc>
          <w:tcPr>
            <w:tcW w:w="1111" w:type="dxa"/>
            <w:gridSpan w:val="2"/>
            <w:shd w:val="clear" w:color="auto" w:fill="E7E6E6" w:themeFill="background2"/>
            <w:tcMar>
              <w:top w:w="0" w:type="dxa"/>
              <w:left w:w="108" w:type="dxa"/>
              <w:bottom w:w="0" w:type="dxa"/>
              <w:right w:w="108" w:type="dxa"/>
            </w:tcMar>
            <w:hideMark/>
          </w:tcPr>
          <w:p w14:paraId="238CB1D6" w14:textId="77777777" w:rsidR="00945A32" w:rsidRPr="00984F4A" w:rsidRDefault="00945A32" w:rsidP="00B5032F">
            <w:pPr>
              <w:rPr>
                <w:kern w:val="2"/>
                <w:sz w:val="20"/>
                <w:szCs w:val="20"/>
              </w:rPr>
            </w:pPr>
            <w:r w:rsidRPr="00984F4A">
              <w:rPr>
                <w:kern w:val="2"/>
                <w:sz w:val="20"/>
                <w:szCs w:val="20"/>
              </w:rPr>
              <w:t>19</w:t>
            </w:r>
          </w:p>
        </w:tc>
        <w:tc>
          <w:tcPr>
            <w:tcW w:w="2688" w:type="dxa"/>
            <w:shd w:val="clear" w:color="auto" w:fill="E7E6E6" w:themeFill="background2"/>
            <w:tcMar>
              <w:top w:w="0" w:type="dxa"/>
              <w:left w:w="108" w:type="dxa"/>
              <w:bottom w:w="0" w:type="dxa"/>
              <w:right w:w="108" w:type="dxa"/>
            </w:tcMar>
            <w:hideMark/>
          </w:tcPr>
          <w:p w14:paraId="678F2014" w14:textId="77777777" w:rsidR="00945A32" w:rsidRPr="00984F4A" w:rsidRDefault="00945A32" w:rsidP="00B5032F">
            <w:pPr>
              <w:rPr>
                <w:kern w:val="2"/>
                <w:sz w:val="20"/>
                <w:szCs w:val="20"/>
              </w:rPr>
            </w:pPr>
            <w:r w:rsidRPr="00984F4A">
              <w:rPr>
                <w:kern w:val="2"/>
                <w:sz w:val="20"/>
                <w:szCs w:val="20"/>
              </w:rPr>
              <w:t>Could you please explain what this provision is trying to accomplish?</w:t>
            </w:r>
          </w:p>
        </w:tc>
        <w:tc>
          <w:tcPr>
            <w:tcW w:w="3251" w:type="dxa"/>
            <w:shd w:val="clear" w:color="auto" w:fill="E7E6E6" w:themeFill="background2"/>
            <w:tcMar>
              <w:top w:w="0" w:type="dxa"/>
              <w:left w:w="108" w:type="dxa"/>
              <w:bottom w:w="0" w:type="dxa"/>
              <w:right w:w="108" w:type="dxa"/>
            </w:tcMar>
          </w:tcPr>
          <w:p w14:paraId="78CE8816" w14:textId="77777777" w:rsidR="00945A32" w:rsidRPr="00984F4A" w:rsidRDefault="00945A32" w:rsidP="00B5032F">
            <w:pPr>
              <w:rPr>
                <w:kern w:val="2"/>
                <w:sz w:val="20"/>
                <w:szCs w:val="20"/>
              </w:rPr>
            </w:pPr>
            <w:r w:rsidRPr="00D9013D">
              <w:rPr>
                <w:sz w:val="20"/>
                <w:szCs w:val="20"/>
              </w:rPr>
              <w:t>The intent is to ensure that the Department is not responsible for overcharges in the event of Contractor antitrust violations.</w:t>
            </w:r>
          </w:p>
        </w:tc>
      </w:tr>
      <w:tr w:rsidR="00B27F16" w:rsidRPr="004128BC" w14:paraId="7C33BE47" w14:textId="77777777" w:rsidTr="00B27F16">
        <w:tblPrEx>
          <w:tblCellMar>
            <w:left w:w="0" w:type="dxa"/>
            <w:right w:w="0" w:type="dxa"/>
          </w:tblCellMar>
        </w:tblPrEx>
        <w:trPr>
          <w:gridAfter w:val="1"/>
          <w:wAfter w:w="13" w:type="dxa"/>
        </w:trPr>
        <w:tc>
          <w:tcPr>
            <w:tcW w:w="733" w:type="dxa"/>
            <w:gridSpan w:val="2"/>
            <w:shd w:val="clear" w:color="auto" w:fill="D5DCE4" w:themeFill="text2" w:themeFillTint="33"/>
            <w:tcMar>
              <w:top w:w="0" w:type="dxa"/>
              <w:left w:w="108" w:type="dxa"/>
              <w:bottom w:w="0" w:type="dxa"/>
              <w:right w:w="108" w:type="dxa"/>
            </w:tcMar>
            <w:hideMark/>
          </w:tcPr>
          <w:p w14:paraId="28824C5B" w14:textId="77777777" w:rsidR="00945A32" w:rsidRPr="004128BC" w:rsidRDefault="00945A32" w:rsidP="00B5032F">
            <w:pPr>
              <w:jc w:val="both"/>
              <w:rPr>
                <w:kern w:val="2"/>
                <w:sz w:val="20"/>
                <w:szCs w:val="20"/>
              </w:rPr>
            </w:pPr>
            <w:r w:rsidRPr="004128BC">
              <w:rPr>
                <w:color w:val="000000"/>
                <w:kern w:val="2"/>
                <w:sz w:val="20"/>
                <w:szCs w:val="20"/>
              </w:rPr>
              <w:t>Q15</w:t>
            </w:r>
          </w:p>
        </w:tc>
        <w:tc>
          <w:tcPr>
            <w:tcW w:w="2237" w:type="dxa"/>
            <w:shd w:val="clear" w:color="auto" w:fill="D5DCE4" w:themeFill="text2" w:themeFillTint="33"/>
            <w:tcMar>
              <w:top w:w="0" w:type="dxa"/>
              <w:left w:w="108" w:type="dxa"/>
              <w:bottom w:w="0" w:type="dxa"/>
              <w:right w:w="108" w:type="dxa"/>
            </w:tcMar>
            <w:hideMark/>
          </w:tcPr>
          <w:p w14:paraId="29B8196C" w14:textId="77777777" w:rsidR="00945A32" w:rsidRDefault="00945A32" w:rsidP="00B5032F">
            <w:pPr>
              <w:rPr>
                <w:kern w:val="2"/>
                <w:sz w:val="20"/>
                <w:szCs w:val="20"/>
              </w:rPr>
            </w:pPr>
            <w:r w:rsidRPr="00D9013D">
              <w:rPr>
                <w:kern w:val="2"/>
                <w:sz w:val="20"/>
                <w:szCs w:val="20"/>
              </w:rPr>
              <w:t xml:space="preserve">RFP </w:t>
            </w:r>
            <w:r w:rsidRPr="00984F4A">
              <w:rPr>
                <w:kern w:val="2"/>
                <w:sz w:val="20"/>
                <w:szCs w:val="20"/>
              </w:rPr>
              <w:t xml:space="preserve">Appendix 2 </w:t>
            </w:r>
            <w:r w:rsidRPr="00D9013D">
              <w:rPr>
                <w:kern w:val="2"/>
                <w:sz w:val="20"/>
                <w:szCs w:val="20"/>
              </w:rPr>
              <w:t>DTCs</w:t>
            </w:r>
            <w:r w:rsidRPr="00984F4A">
              <w:rPr>
                <w:kern w:val="2"/>
                <w:sz w:val="20"/>
                <w:szCs w:val="20"/>
              </w:rPr>
              <w:t xml:space="preserve"> Section 7.0</w:t>
            </w:r>
            <w:r w:rsidRPr="00D9013D">
              <w:rPr>
                <w:kern w:val="2"/>
                <w:sz w:val="20"/>
                <w:szCs w:val="20"/>
              </w:rPr>
              <w:t xml:space="preserve"> </w:t>
            </w:r>
          </w:p>
          <w:p w14:paraId="16B42053" w14:textId="77777777" w:rsidR="00945A32" w:rsidRPr="00984F4A" w:rsidRDefault="00945A32" w:rsidP="00B5032F">
            <w:pPr>
              <w:rPr>
                <w:kern w:val="2"/>
                <w:sz w:val="20"/>
                <w:szCs w:val="20"/>
              </w:rPr>
            </w:pPr>
            <w:r>
              <w:rPr>
                <w:kern w:val="2"/>
                <w:sz w:val="20"/>
                <w:szCs w:val="20"/>
              </w:rPr>
              <w:t>Criminal Background Verification</w:t>
            </w:r>
          </w:p>
        </w:tc>
        <w:tc>
          <w:tcPr>
            <w:tcW w:w="1111" w:type="dxa"/>
            <w:gridSpan w:val="2"/>
            <w:shd w:val="clear" w:color="auto" w:fill="D5DCE4" w:themeFill="text2" w:themeFillTint="33"/>
            <w:tcMar>
              <w:top w:w="0" w:type="dxa"/>
              <w:left w:w="108" w:type="dxa"/>
              <w:bottom w:w="0" w:type="dxa"/>
              <w:right w:w="108" w:type="dxa"/>
            </w:tcMar>
            <w:hideMark/>
          </w:tcPr>
          <w:p w14:paraId="1748CCB2" w14:textId="77777777" w:rsidR="00945A32" w:rsidRPr="00984F4A" w:rsidRDefault="00945A32" w:rsidP="00B5032F">
            <w:pPr>
              <w:rPr>
                <w:kern w:val="2"/>
                <w:sz w:val="20"/>
                <w:szCs w:val="20"/>
              </w:rPr>
            </w:pPr>
            <w:r w:rsidRPr="00984F4A">
              <w:rPr>
                <w:kern w:val="2"/>
                <w:sz w:val="20"/>
                <w:szCs w:val="20"/>
              </w:rPr>
              <w:t>3</w:t>
            </w:r>
          </w:p>
        </w:tc>
        <w:tc>
          <w:tcPr>
            <w:tcW w:w="2688" w:type="dxa"/>
            <w:shd w:val="clear" w:color="auto" w:fill="D5DCE4" w:themeFill="text2" w:themeFillTint="33"/>
            <w:tcMar>
              <w:top w:w="0" w:type="dxa"/>
              <w:left w:w="108" w:type="dxa"/>
              <w:bottom w:w="0" w:type="dxa"/>
              <w:right w:w="108" w:type="dxa"/>
            </w:tcMar>
            <w:hideMark/>
          </w:tcPr>
          <w:p w14:paraId="5EE19983" w14:textId="77777777" w:rsidR="00945A32" w:rsidRPr="00984F4A" w:rsidRDefault="00945A32" w:rsidP="00B5032F">
            <w:pPr>
              <w:rPr>
                <w:kern w:val="2"/>
                <w:sz w:val="20"/>
                <w:szCs w:val="20"/>
              </w:rPr>
            </w:pPr>
            <w:r w:rsidRPr="00984F4A">
              <w:rPr>
                <w:kern w:val="2"/>
                <w:sz w:val="20"/>
                <w:szCs w:val="20"/>
              </w:rPr>
              <w:t>Can you please confirm if this is only if we are on your premises?</w:t>
            </w:r>
          </w:p>
        </w:tc>
        <w:tc>
          <w:tcPr>
            <w:tcW w:w="3251" w:type="dxa"/>
            <w:shd w:val="clear" w:color="auto" w:fill="D5DCE4" w:themeFill="text2" w:themeFillTint="33"/>
            <w:tcMar>
              <w:top w:w="0" w:type="dxa"/>
              <w:left w:w="108" w:type="dxa"/>
              <w:bottom w:w="0" w:type="dxa"/>
              <w:right w:w="108" w:type="dxa"/>
            </w:tcMar>
          </w:tcPr>
          <w:p w14:paraId="0FCB100F" w14:textId="77777777" w:rsidR="00945A32" w:rsidRPr="00984F4A" w:rsidRDefault="00945A32" w:rsidP="00B5032F">
            <w:pPr>
              <w:rPr>
                <w:kern w:val="2"/>
                <w:sz w:val="20"/>
                <w:szCs w:val="20"/>
              </w:rPr>
            </w:pPr>
            <w:r w:rsidRPr="00D9013D">
              <w:rPr>
                <w:kern w:val="2"/>
                <w:sz w:val="20"/>
                <w:szCs w:val="20"/>
              </w:rPr>
              <w:t xml:space="preserve">Section 7 applies to all persons “that will perform Services under the Contract…” not just those persons who may be on Department premises. </w:t>
            </w:r>
          </w:p>
        </w:tc>
      </w:tr>
      <w:tr w:rsidR="00B27F16" w:rsidRPr="004128BC" w14:paraId="09E8EB99" w14:textId="77777777" w:rsidTr="00B27F16">
        <w:tblPrEx>
          <w:tblCellMar>
            <w:left w:w="0" w:type="dxa"/>
            <w:right w:w="0" w:type="dxa"/>
          </w:tblCellMar>
        </w:tblPrEx>
        <w:trPr>
          <w:gridAfter w:val="1"/>
          <w:wAfter w:w="13" w:type="dxa"/>
        </w:trPr>
        <w:tc>
          <w:tcPr>
            <w:tcW w:w="733" w:type="dxa"/>
            <w:gridSpan w:val="2"/>
            <w:shd w:val="clear" w:color="auto" w:fill="E7E6E6" w:themeFill="background2"/>
            <w:tcMar>
              <w:top w:w="0" w:type="dxa"/>
              <w:left w:w="108" w:type="dxa"/>
              <w:bottom w:w="0" w:type="dxa"/>
              <w:right w:w="108" w:type="dxa"/>
            </w:tcMar>
            <w:hideMark/>
          </w:tcPr>
          <w:p w14:paraId="681797C9" w14:textId="77777777" w:rsidR="00945A32" w:rsidRPr="004128BC" w:rsidRDefault="00945A32" w:rsidP="00B5032F">
            <w:pPr>
              <w:jc w:val="both"/>
              <w:rPr>
                <w:kern w:val="2"/>
                <w:sz w:val="20"/>
                <w:szCs w:val="20"/>
              </w:rPr>
            </w:pPr>
            <w:r w:rsidRPr="004128BC">
              <w:rPr>
                <w:color w:val="000000"/>
                <w:kern w:val="2"/>
                <w:sz w:val="20"/>
                <w:szCs w:val="20"/>
              </w:rPr>
              <w:t>Q16</w:t>
            </w:r>
          </w:p>
        </w:tc>
        <w:tc>
          <w:tcPr>
            <w:tcW w:w="2237" w:type="dxa"/>
            <w:shd w:val="clear" w:color="auto" w:fill="E7E6E6" w:themeFill="background2"/>
            <w:tcMar>
              <w:top w:w="0" w:type="dxa"/>
              <w:left w:w="108" w:type="dxa"/>
              <w:bottom w:w="0" w:type="dxa"/>
              <w:right w:w="108" w:type="dxa"/>
            </w:tcMar>
            <w:hideMark/>
          </w:tcPr>
          <w:p w14:paraId="6C26ECBB" w14:textId="77777777" w:rsidR="00945A32" w:rsidRPr="00984F4A" w:rsidRDefault="00945A32" w:rsidP="00B5032F">
            <w:pPr>
              <w:rPr>
                <w:kern w:val="2"/>
                <w:sz w:val="20"/>
                <w:szCs w:val="20"/>
              </w:rPr>
            </w:pPr>
            <w:r w:rsidRPr="00D9013D">
              <w:rPr>
                <w:kern w:val="2"/>
                <w:sz w:val="20"/>
                <w:szCs w:val="20"/>
              </w:rPr>
              <w:t>RFP Appendix 2 DTCs Section 24.0(d) Use and disclosure of confidential information: Contractor shall: (5) “Not use or disclose Confidential Information in an Artificial Intelligence model unless approved by the Department in writing;”</w:t>
            </w:r>
          </w:p>
        </w:tc>
        <w:tc>
          <w:tcPr>
            <w:tcW w:w="1111" w:type="dxa"/>
            <w:gridSpan w:val="2"/>
            <w:shd w:val="clear" w:color="auto" w:fill="E7E6E6" w:themeFill="background2"/>
            <w:tcMar>
              <w:top w:w="0" w:type="dxa"/>
              <w:left w:w="108" w:type="dxa"/>
              <w:bottom w:w="0" w:type="dxa"/>
              <w:right w:w="108" w:type="dxa"/>
            </w:tcMar>
            <w:hideMark/>
          </w:tcPr>
          <w:p w14:paraId="2C54C5A9" w14:textId="77777777" w:rsidR="00945A32" w:rsidRPr="00984F4A" w:rsidRDefault="00945A32" w:rsidP="00B5032F">
            <w:pPr>
              <w:rPr>
                <w:kern w:val="2"/>
                <w:sz w:val="20"/>
                <w:szCs w:val="20"/>
              </w:rPr>
            </w:pPr>
            <w:r w:rsidRPr="00984F4A">
              <w:rPr>
                <w:kern w:val="2"/>
                <w:sz w:val="20"/>
                <w:szCs w:val="20"/>
              </w:rPr>
              <w:t>9</w:t>
            </w:r>
          </w:p>
        </w:tc>
        <w:tc>
          <w:tcPr>
            <w:tcW w:w="2688" w:type="dxa"/>
            <w:shd w:val="clear" w:color="auto" w:fill="E7E6E6" w:themeFill="background2"/>
            <w:tcMar>
              <w:top w:w="0" w:type="dxa"/>
              <w:left w:w="108" w:type="dxa"/>
              <w:bottom w:w="0" w:type="dxa"/>
              <w:right w:w="108" w:type="dxa"/>
            </w:tcMar>
            <w:hideMark/>
          </w:tcPr>
          <w:p w14:paraId="4B2FA475" w14:textId="77777777" w:rsidR="00945A32" w:rsidRPr="00984F4A" w:rsidRDefault="00945A32" w:rsidP="00B5032F">
            <w:pPr>
              <w:rPr>
                <w:kern w:val="2"/>
                <w:sz w:val="20"/>
                <w:szCs w:val="20"/>
              </w:rPr>
            </w:pPr>
            <w:r w:rsidRPr="00984F4A">
              <w:rPr>
                <w:kern w:val="2"/>
                <w:sz w:val="20"/>
                <w:szCs w:val="20"/>
              </w:rPr>
              <w:t>Are you speaking of just generative AI?</w:t>
            </w:r>
          </w:p>
        </w:tc>
        <w:tc>
          <w:tcPr>
            <w:tcW w:w="3251" w:type="dxa"/>
            <w:shd w:val="clear" w:color="auto" w:fill="E7E6E6" w:themeFill="background2"/>
            <w:tcMar>
              <w:top w:w="0" w:type="dxa"/>
              <w:left w:w="108" w:type="dxa"/>
              <w:bottom w:w="0" w:type="dxa"/>
              <w:right w:w="108" w:type="dxa"/>
            </w:tcMar>
          </w:tcPr>
          <w:p w14:paraId="7DC501F4" w14:textId="77777777" w:rsidR="00945A32" w:rsidRPr="00984F4A" w:rsidRDefault="00945A32" w:rsidP="00B5032F">
            <w:pPr>
              <w:rPr>
                <w:kern w:val="2"/>
                <w:sz w:val="20"/>
                <w:szCs w:val="20"/>
              </w:rPr>
            </w:pPr>
            <w:r w:rsidRPr="00D9013D">
              <w:rPr>
                <w:sz w:val="20"/>
                <w:szCs w:val="20"/>
              </w:rPr>
              <w:t>The Department is particularly interested in understanding the use of generative AI in Section 125 Cafeteria Plan and Pre-Tax Benefit program administration.</w:t>
            </w:r>
          </w:p>
        </w:tc>
      </w:tr>
      <w:tr w:rsidR="00B27F16" w:rsidRPr="004128BC" w14:paraId="070E674A" w14:textId="77777777" w:rsidTr="00B27F16">
        <w:tblPrEx>
          <w:tblCellMar>
            <w:left w:w="0" w:type="dxa"/>
            <w:right w:w="0" w:type="dxa"/>
          </w:tblCellMar>
        </w:tblPrEx>
        <w:trPr>
          <w:gridAfter w:val="1"/>
          <w:wAfter w:w="13" w:type="dxa"/>
        </w:trPr>
        <w:tc>
          <w:tcPr>
            <w:tcW w:w="733" w:type="dxa"/>
            <w:gridSpan w:val="2"/>
            <w:shd w:val="clear" w:color="auto" w:fill="D5DCE4" w:themeFill="text2" w:themeFillTint="33"/>
            <w:tcMar>
              <w:top w:w="0" w:type="dxa"/>
              <w:left w:w="108" w:type="dxa"/>
              <w:bottom w:w="0" w:type="dxa"/>
              <w:right w:w="108" w:type="dxa"/>
            </w:tcMar>
            <w:hideMark/>
          </w:tcPr>
          <w:p w14:paraId="47A30D18" w14:textId="77777777" w:rsidR="00945A32" w:rsidRPr="004128BC" w:rsidRDefault="00945A32" w:rsidP="00B5032F">
            <w:pPr>
              <w:jc w:val="both"/>
              <w:rPr>
                <w:color w:val="000000"/>
                <w:kern w:val="2"/>
                <w:sz w:val="20"/>
                <w:szCs w:val="20"/>
              </w:rPr>
            </w:pPr>
            <w:r w:rsidRPr="004128BC">
              <w:rPr>
                <w:color w:val="000000"/>
                <w:kern w:val="2"/>
                <w:sz w:val="20"/>
                <w:szCs w:val="20"/>
              </w:rPr>
              <w:t>Q17</w:t>
            </w:r>
          </w:p>
        </w:tc>
        <w:tc>
          <w:tcPr>
            <w:tcW w:w="2237" w:type="dxa"/>
            <w:shd w:val="clear" w:color="auto" w:fill="D5DCE4" w:themeFill="text2" w:themeFillTint="33"/>
            <w:tcMar>
              <w:top w:w="0" w:type="dxa"/>
              <w:left w:w="108" w:type="dxa"/>
              <w:bottom w:w="0" w:type="dxa"/>
              <w:right w:w="108" w:type="dxa"/>
            </w:tcMar>
            <w:hideMark/>
          </w:tcPr>
          <w:p w14:paraId="553A3A9E" w14:textId="77777777" w:rsidR="00945A32" w:rsidRPr="00D9013D" w:rsidRDefault="00945A32" w:rsidP="00B5032F">
            <w:pPr>
              <w:rPr>
                <w:kern w:val="2"/>
                <w:sz w:val="20"/>
                <w:szCs w:val="20"/>
              </w:rPr>
            </w:pPr>
            <w:r w:rsidRPr="00D9013D">
              <w:rPr>
                <w:kern w:val="2"/>
                <w:sz w:val="20"/>
                <w:szCs w:val="20"/>
              </w:rPr>
              <w:t>RFP Appendix 2 DTCs Section 24.0(e)  Requirement to keep confidential information within the United States</w:t>
            </w:r>
          </w:p>
          <w:p w14:paraId="35E7A4A1" w14:textId="77777777" w:rsidR="00945A32" w:rsidRPr="00D9013D" w:rsidRDefault="00945A32" w:rsidP="00B5032F">
            <w:pPr>
              <w:rPr>
                <w:kern w:val="2"/>
                <w:sz w:val="20"/>
                <w:szCs w:val="20"/>
              </w:rPr>
            </w:pPr>
          </w:p>
          <w:p w14:paraId="12A3772D" w14:textId="77777777" w:rsidR="00945A32" w:rsidRPr="00D9013D" w:rsidRDefault="00945A32" w:rsidP="00B5032F">
            <w:pPr>
              <w:rPr>
                <w:kern w:val="2"/>
                <w:sz w:val="20"/>
                <w:szCs w:val="20"/>
              </w:rPr>
            </w:pPr>
            <w:r w:rsidRPr="00D9013D">
              <w:rPr>
                <w:kern w:val="2"/>
                <w:sz w:val="20"/>
                <w:szCs w:val="20"/>
              </w:rPr>
              <w:t xml:space="preserve">RFP FORM B - Mandatory Proposer Qualifications: </w:t>
            </w:r>
          </w:p>
          <w:p w14:paraId="241FC627" w14:textId="77777777" w:rsidR="00945A32" w:rsidRPr="00D9013D" w:rsidRDefault="00945A32" w:rsidP="00B5032F">
            <w:pPr>
              <w:rPr>
                <w:kern w:val="2"/>
                <w:sz w:val="20"/>
                <w:szCs w:val="20"/>
              </w:rPr>
            </w:pPr>
            <w:r w:rsidRPr="00D9013D">
              <w:rPr>
                <w:kern w:val="2"/>
                <w:sz w:val="20"/>
                <w:szCs w:val="20"/>
              </w:rPr>
              <w:lastRenderedPageBreak/>
              <w:t xml:space="preserve">  </w:t>
            </w:r>
          </w:p>
          <w:p w14:paraId="7201809C" w14:textId="77777777" w:rsidR="00945A32" w:rsidRPr="00D9013D" w:rsidRDefault="00945A32" w:rsidP="00B5032F">
            <w:pPr>
              <w:rPr>
                <w:i/>
                <w:iCs/>
                <w:kern w:val="2"/>
                <w:sz w:val="20"/>
                <w:szCs w:val="20"/>
              </w:rPr>
            </w:pPr>
            <w:r w:rsidRPr="00D9013D">
              <w:rPr>
                <w:i/>
                <w:iCs/>
                <w:kern w:val="2"/>
                <w:sz w:val="20"/>
                <w:szCs w:val="20"/>
              </w:rPr>
              <w:t>4.1 If awarded a Contract, the Services provided by the Proposer to the Department under the Contract will be performed within the United States.</w:t>
            </w:r>
          </w:p>
          <w:p w14:paraId="3EAFD496" w14:textId="77777777" w:rsidR="00945A32" w:rsidRPr="00D9013D" w:rsidRDefault="00945A32" w:rsidP="00B5032F">
            <w:pPr>
              <w:rPr>
                <w:i/>
                <w:iCs/>
                <w:kern w:val="2"/>
                <w:sz w:val="20"/>
                <w:szCs w:val="20"/>
              </w:rPr>
            </w:pPr>
          </w:p>
          <w:p w14:paraId="7A7B5854" w14:textId="77777777" w:rsidR="00945A32" w:rsidRPr="00984F4A" w:rsidRDefault="00945A32" w:rsidP="00B5032F">
            <w:pPr>
              <w:rPr>
                <w:kern w:val="2"/>
                <w:sz w:val="20"/>
                <w:szCs w:val="20"/>
              </w:rPr>
            </w:pPr>
            <w:r w:rsidRPr="00D9013D">
              <w:rPr>
                <w:i/>
                <w:iCs/>
                <w:kern w:val="2"/>
                <w:sz w:val="20"/>
                <w:szCs w:val="20"/>
              </w:rPr>
              <w:t>4.2 If Proposer’s system is hosted in the cloud, Proposer agrees all data provided to the Proposer (Contractor) by the State, Department, Participants, Department-contracted third-parties for Contract purposes will be stored in the contiguous United States.</w:t>
            </w:r>
          </w:p>
        </w:tc>
        <w:tc>
          <w:tcPr>
            <w:tcW w:w="1111" w:type="dxa"/>
            <w:gridSpan w:val="2"/>
            <w:shd w:val="clear" w:color="auto" w:fill="D5DCE4" w:themeFill="text2" w:themeFillTint="33"/>
            <w:tcMar>
              <w:top w:w="0" w:type="dxa"/>
              <w:left w:w="108" w:type="dxa"/>
              <w:bottom w:w="0" w:type="dxa"/>
              <w:right w:w="108" w:type="dxa"/>
            </w:tcMar>
            <w:hideMark/>
          </w:tcPr>
          <w:p w14:paraId="68F8868C" w14:textId="77777777" w:rsidR="00945A32" w:rsidRPr="00984F4A" w:rsidRDefault="00945A32" w:rsidP="00B5032F">
            <w:pPr>
              <w:rPr>
                <w:kern w:val="2"/>
                <w:sz w:val="20"/>
                <w:szCs w:val="20"/>
              </w:rPr>
            </w:pPr>
            <w:r w:rsidRPr="00984F4A">
              <w:rPr>
                <w:kern w:val="2"/>
                <w:sz w:val="20"/>
                <w:szCs w:val="20"/>
              </w:rPr>
              <w:lastRenderedPageBreak/>
              <w:t>9</w:t>
            </w:r>
          </w:p>
        </w:tc>
        <w:tc>
          <w:tcPr>
            <w:tcW w:w="2688" w:type="dxa"/>
            <w:shd w:val="clear" w:color="auto" w:fill="D5DCE4" w:themeFill="text2" w:themeFillTint="33"/>
            <w:tcMar>
              <w:top w:w="0" w:type="dxa"/>
              <w:left w:w="108" w:type="dxa"/>
              <w:bottom w:w="0" w:type="dxa"/>
              <w:right w:w="108" w:type="dxa"/>
            </w:tcMar>
            <w:hideMark/>
          </w:tcPr>
          <w:p w14:paraId="214EA8C4" w14:textId="77777777" w:rsidR="00945A32" w:rsidRPr="00984F4A" w:rsidRDefault="00945A32" w:rsidP="00B5032F">
            <w:pPr>
              <w:rPr>
                <w:kern w:val="2"/>
                <w:sz w:val="20"/>
                <w:szCs w:val="20"/>
              </w:rPr>
            </w:pPr>
            <w:r w:rsidRPr="00984F4A">
              <w:rPr>
                <w:kern w:val="2"/>
                <w:sz w:val="20"/>
                <w:szCs w:val="20"/>
              </w:rPr>
              <w:t>We currently utilize offshore vendors and we can onshore for an additional cost. Please explain the process in obtaining written consent to offshore.</w:t>
            </w:r>
          </w:p>
        </w:tc>
        <w:tc>
          <w:tcPr>
            <w:tcW w:w="3251" w:type="dxa"/>
            <w:shd w:val="clear" w:color="auto" w:fill="D5DCE4" w:themeFill="text2" w:themeFillTint="33"/>
            <w:tcMar>
              <w:top w:w="0" w:type="dxa"/>
              <w:left w:w="108" w:type="dxa"/>
              <w:bottom w:w="0" w:type="dxa"/>
              <w:right w:w="108" w:type="dxa"/>
            </w:tcMar>
          </w:tcPr>
          <w:p w14:paraId="61AD1D00" w14:textId="77777777" w:rsidR="00945A32" w:rsidRPr="00D9013D" w:rsidRDefault="00945A32" w:rsidP="00B5032F">
            <w:pPr>
              <w:tabs>
                <w:tab w:val="left" w:pos="1080"/>
              </w:tabs>
              <w:spacing w:after="60"/>
              <w:rPr>
                <w:b/>
                <w:i/>
                <w:iCs/>
                <w:sz w:val="20"/>
                <w:szCs w:val="20"/>
              </w:rPr>
            </w:pPr>
            <w:r w:rsidRPr="00D9013D">
              <w:rPr>
                <w:kern w:val="2"/>
                <w:sz w:val="20"/>
                <w:szCs w:val="20"/>
              </w:rPr>
              <w:t xml:space="preserve">Section 24.0(e) states: </w:t>
            </w:r>
            <w:r w:rsidRPr="00D9013D">
              <w:rPr>
                <w:i/>
                <w:iCs/>
                <w:sz w:val="20"/>
                <w:szCs w:val="20"/>
              </w:rPr>
              <w:t>The Contractor’s transmission, transportation or storage of Confidential Information outside the contiguous United States, or access of Confidential Information from outside the contiguous United States, is prohibited except on prior written authorization by the Department.</w:t>
            </w:r>
            <w:r w:rsidRPr="00D9013D">
              <w:rPr>
                <w:b/>
                <w:i/>
                <w:iCs/>
                <w:sz w:val="20"/>
                <w:szCs w:val="20"/>
              </w:rPr>
              <w:t xml:space="preserve">  </w:t>
            </w:r>
          </w:p>
          <w:p w14:paraId="493E72E0" w14:textId="77777777" w:rsidR="00945A32" w:rsidRPr="00D9013D" w:rsidRDefault="00945A32" w:rsidP="00B5032F">
            <w:pPr>
              <w:spacing w:after="60"/>
              <w:rPr>
                <w:kern w:val="2"/>
                <w:sz w:val="20"/>
                <w:szCs w:val="20"/>
              </w:rPr>
            </w:pPr>
            <w:r w:rsidRPr="00D9013D">
              <w:rPr>
                <w:kern w:val="2"/>
                <w:sz w:val="20"/>
                <w:szCs w:val="20"/>
              </w:rPr>
              <w:lastRenderedPageBreak/>
              <w:t>In your Proposal, describe which</w:t>
            </w:r>
            <w:r>
              <w:rPr>
                <w:kern w:val="2"/>
                <w:sz w:val="20"/>
                <w:szCs w:val="20"/>
              </w:rPr>
              <w:t xml:space="preserve"> </w:t>
            </w:r>
            <w:r w:rsidRPr="00D9013D">
              <w:rPr>
                <w:kern w:val="2"/>
                <w:sz w:val="20"/>
                <w:szCs w:val="20"/>
              </w:rPr>
              <w:t xml:space="preserve"> services you intend to provide under the Contract(s) that would be offshored. List the possible Confidential Data that would be transmitted, transported, or stored outside the contiguous U.S. Also, in your cost proposal (in the Clarifications sections of each tab) describe the cost differential of having the services you listed provided within the contiguous U.S.</w:t>
            </w:r>
            <w:r w:rsidRPr="00D9013D">
              <w:rPr>
                <w:sz w:val="20"/>
                <w:szCs w:val="20"/>
              </w:rPr>
              <w:t xml:space="preserve"> </w:t>
            </w:r>
            <w:r w:rsidRPr="00D9013D">
              <w:rPr>
                <w:kern w:val="2"/>
                <w:sz w:val="20"/>
                <w:szCs w:val="20"/>
              </w:rPr>
              <w:t xml:space="preserve">(instead of utilizing offshore vendors).   </w:t>
            </w:r>
          </w:p>
          <w:p w14:paraId="7BC9C819" w14:textId="77777777" w:rsidR="00945A32" w:rsidRPr="00D9013D" w:rsidRDefault="00945A32" w:rsidP="00B5032F">
            <w:pPr>
              <w:rPr>
                <w:i/>
                <w:sz w:val="20"/>
                <w:szCs w:val="20"/>
              </w:rPr>
            </w:pPr>
            <w:r w:rsidRPr="00D9013D">
              <w:rPr>
                <w:kern w:val="2"/>
                <w:sz w:val="20"/>
                <w:szCs w:val="20"/>
              </w:rPr>
              <w:t xml:space="preserve">RFP Section 4 states: </w:t>
            </w:r>
            <w:r w:rsidRPr="00D9013D">
              <w:rPr>
                <w:i/>
                <w:iCs/>
                <w:sz w:val="20"/>
                <w:szCs w:val="20"/>
              </w:rPr>
              <w:t>If the Proposer cannot agree to each item listed in Form B, the Proposer must so specify and provide the reason for the disagreement in the Assumptions and Exceptions section of their Proposal (see instructions in Section 2.4.1 above).</w:t>
            </w:r>
            <w:r w:rsidRPr="00D9013D">
              <w:rPr>
                <w:kern w:val="2"/>
                <w:sz w:val="20"/>
                <w:szCs w:val="20"/>
              </w:rPr>
              <w:t xml:space="preserve"> </w:t>
            </w:r>
          </w:p>
        </w:tc>
      </w:tr>
      <w:tr w:rsidR="00B27F16" w:rsidRPr="004128BC" w14:paraId="33DF3DC1" w14:textId="77777777" w:rsidTr="00B27F16">
        <w:tblPrEx>
          <w:tblCellMar>
            <w:left w:w="0" w:type="dxa"/>
            <w:right w:w="0" w:type="dxa"/>
          </w:tblCellMar>
        </w:tblPrEx>
        <w:trPr>
          <w:gridAfter w:val="1"/>
          <w:wAfter w:w="13" w:type="dxa"/>
        </w:trPr>
        <w:tc>
          <w:tcPr>
            <w:tcW w:w="733" w:type="dxa"/>
            <w:gridSpan w:val="2"/>
            <w:shd w:val="clear" w:color="auto" w:fill="E7E6E6" w:themeFill="background2"/>
            <w:tcMar>
              <w:top w:w="0" w:type="dxa"/>
              <w:left w:w="108" w:type="dxa"/>
              <w:bottom w:w="0" w:type="dxa"/>
              <w:right w:w="108" w:type="dxa"/>
            </w:tcMar>
            <w:hideMark/>
          </w:tcPr>
          <w:p w14:paraId="4E9D2D44" w14:textId="77777777" w:rsidR="00945A32" w:rsidRPr="004128BC" w:rsidRDefault="00945A32" w:rsidP="00B5032F">
            <w:pPr>
              <w:jc w:val="both"/>
              <w:rPr>
                <w:color w:val="000000"/>
                <w:kern w:val="2"/>
                <w:sz w:val="20"/>
                <w:szCs w:val="20"/>
              </w:rPr>
            </w:pPr>
            <w:r w:rsidRPr="004128BC">
              <w:rPr>
                <w:color w:val="000000"/>
                <w:kern w:val="2"/>
                <w:sz w:val="20"/>
                <w:szCs w:val="20"/>
              </w:rPr>
              <w:lastRenderedPageBreak/>
              <w:t>Q18</w:t>
            </w:r>
          </w:p>
        </w:tc>
        <w:tc>
          <w:tcPr>
            <w:tcW w:w="2237" w:type="dxa"/>
            <w:shd w:val="clear" w:color="auto" w:fill="E7E6E6" w:themeFill="background2"/>
            <w:tcMar>
              <w:top w:w="0" w:type="dxa"/>
              <w:left w:w="108" w:type="dxa"/>
              <w:bottom w:w="0" w:type="dxa"/>
              <w:right w:w="108" w:type="dxa"/>
            </w:tcMar>
            <w:hideMark/>
          </w:tcPr>
          <w:p w14:paraId="7EDE6A0F" w14:textId="77777777" w:rsidR="00945A32" w:rsidRDefault="00945A32" w:rsidP="00B5032F">
            <w:pPr>
              <w:rPr>
                <w:kern w:val="2"/>
                <w:sz w:val="20"/>
                <w:szCs w:val="20"/>
              </w:rPr>
            </w:pPr>
            <w:r w:rsidRPr="00D9013D">
              <w:rPr>
                <w:kern w:val="2"/>
                <w:sz w:val="20"/>
                <w:szCs w:val="20"/>
              </w:rPr>
              <w:t xml:space="preserve">RFP </w:t>
            </w:r>
            <w:r w:rsidRPr="00984F4A">
              <w:rPr>
                <w:kern w:val="2"/>
                <w:sz w:val="20"/>
                <w:szCs w:val="20"/>
              </w:rPr>
              <w:t xml:space="preserve">Appendix 2 </w:t>
            </w:r>
            <w:r w:rsidRPr="00D9013D">
              <w:rPr>
                <w:kern w:val="2"/>
                <w:sz w:val="20"/>
                <w:szCs w:val="20"/>
              </w:rPr>
              <w:t xml:space="preserve">DTCs </w:t>
            </w:r>
            <w:r w:rsidRPr="00984F4A">
              <w:rPr>
                <w:kern w:val="2"/>
                <w:sz w:val="20"/>
                <w:szCs w:val="20"/>
              </w:rPr>
              <w:t xml:space="preserve"> Section 27.0</w:t>
            </w:r>
          </w:p>
          <w:p w14:paraId="3597B1EB" w14:textId="77777777" w:rsidR="00945A32" w:rsidRPr="00984F4A" w:rsidRDefault="00945A32" w:rsidP="00B5032F">
            <w:pPr>
              <w:rPr>
                <w:kern w:val="2"/>
                <w:sz w:val="20"/>
                <w:szCs w:val="20"/>
              </w:rPr>
            </w:pPr>
            <w:r>
              <w:rPr>
                <w:kern w:val="2"/>
                <w:sz w:val="20"/>
                <w:szCs w:val="20"/>
              </w:rPr>
              <w:t>Right to Publish or Disclose</w:t>
            </w:r>
          </w:p>
        </w:tc>
        <w:tc>
          <w:tcPr>
            <w:tcW w:w="1111" w:type="dxa"/>
            <w:gridSpan w:val="2"/>
            <w:shd w:val="clear" w:color="auto" w:fill="E7E6E6" w:themeFill="background2"/>
            <w:tcMar>
              <w:top w:w="0" w:type="dxa"/>
              <w:left w:w="108" w:type="dxa"/>
              <w:bottom w:w="0" w:type="dxa"/>
              <w:right w:w="108" w:type="dxa"/>
            </w:tcMar>
            <w:hideMark/>
          </w:tcPr>
          <w:p w14:paraId="17915093" w14:textId="77777777" w:rsidR="00945A32" w:rsidRPr="00984F4A" w:rsidRDefault="00945A32" w:rsidP="00B5032F">
            <w:pPr>
              <w:rPr>
                <w:kern w:val="2"/>
                <w:sz w:val="20"/>
                <w:szCs w:val="20"/>
              </w:rPr>
            </w:pPr>
            <w:r w:rsidRPr="00984F4A">
              <w:rPr>
                <w:kern w:val="2"/>
                <w:sz w:val="20"/>
                <w:szCs w:val="20"/>
              </w:rPr>
              <w:t>13</w:t>
            </w:r>
          </w:p>
        </w:tc>
        <w:tc>
          <w:tcPr>
            <w:tcW w:w="2688" w:type="dxa"/>
            <w:shd w:val="clear" w:color="auto" w:fill="E7E6E6" w:themeFill="background2"/>
            <w:tcMar>
              <w:top w:w="0" w:type="dxa"/>
              <w:left w:w="108" w:type="dxa"/>
              <w:bottom w:w="0" w:type="dxa"/>
              <w:right w:w="108" w:type="dxa"/>
            </w:tcMar>
            <w:hideMark/>
          </w:tcPr>
          <w:p w14:paraId="3CCCE6D4" w14:textId="77777777" w:rsidR="00945A32" w:rsidRPr="00984F4A" w:rsidRDefault="00945A32" w:rsidP="00B5032F">
            <w:pPr>
              <w:rPr>
                <w:kern w:val="2"/>
                <w:sz w:val="20"/>
                <w:szCs w:val="20"/>
              </w:rPr>
            </w:pPr>
            <w:r w:rsidRPr="00984F4A">
              <w:rPr>
                <w:kern w:val="2"/>
                <w:sz w:val="20"/>
                <w:szCs w:val="20"/>
              </w:rPr>
              <w:t xml:space="preserve">Please provide clarification. </w:t>
            </w:r>
          </w:p>
        </w:tc>
        <w:tc>
          <w:tcPr>
            <w:tcW w:w="3251" w:type="dxa"/>
            <w:shd w:val="clear" w:color="auto" w:fill="E7E6E6" w:themeFill="background2"/>
            <w:tcMar>
              <w:top w:w="0" w:type="dxa"/>
              <w:left w:w="108" w:type="dxa"/>
              <w:bottom w:w="0" w:type="dxa"/>
              <w:right w:w="108" w:type="dxa"/>
            </w:tcMar>
          </w:tcPr>
          <w:p w14:paraId="1BC01B2D" w14:textId="77777777" w:rsidR="00945A32" w:rsidRPr="00D9013D" w:rsidRDefault="00945A32" w:rsidP="00B5032F">
            <w:pPr>
              <w:rPr>
                <w:rFonts w:eastAsiaTheme="minorEastAsia"/>
                <w:sz w:val="20"/>
                <w:szCs w:val="20"/>
              </w:rPr>
            </w:pPr>
            <w:r w:rsidRPr="00D9013D">
              <w:rPr>
                <w:sz w:val="20"/>
                <w:szCs w:val="20"/>
              </w:rPr>
              <w:t>Contractor</w:t>
            </w:r>
            <w:r w:rsidRPr="00D9013D">
              <w:rPr>
                <w:rFonts w:eastAsiaTheme="minorEastAsia"/>
                <w:sz w:val="20"/>
                <w:szCs w:val="20"/>
              </w:rPr>
              <w:t>s may not release any information which pertains to work or activities covered by the Contract without prior written approval of the Department. Contractors must also comply with and are liable for violations of Wis. Stat. s. 40.07.</w:t>
            </w:r>
          </w:p>
        </w:tc>
      </w:tr>
      <w:tr w:rsidR="00B27F16" w:rsidRPr="004128BC" w14:paraId="2F3EE9DE" w14:textId="77777777" w:rsidTr="00B27F16">
        <w:tblPrEx>
          <w:tblCellMar>
            <w:left w:w="0" w:type="dxa"/>
            <w:right w:w="0" w:type="dxa"/>
          </w:tblCellMar>
        </w:tblPrEx>
        <w:trPr>
          <w:gridAfter w:val="1"/>
          <w:wAfter w:w="13" w:type="dxa"/>
        </w:trPr>
        <w:tc>
          <w:tcPr>
            <w:tcW w:w="733" w:type="dxa"/>
            <w:gridSpan w:val="2"/>
            <w:shd w:val="clear" w:color="auto" w:fill="D5DCE4" w:themeFill="text2" w:themeFillTint="33"/>
            <w:tcMar>
              <w:top w:w="0" w:type="dxa"/>
              <w:left w:w="108" w:type="dxa"/>
              <w:bottom w:w="0" w:type="dxa"/>
              <w:right w:w="108" w:type="dxa"/>
            </w:tcMar>
            <w:hideMark/>
          </w:tcPr>
          <w:p w14:paraId="1650D5A1" w14:textId="77777777" w:rsidR="00945A32" w:rsidRPr="004128BC" w:rsidRDefault="00945A32" w:rsidP="00B5032F">
            <w:pPr>
              <w:jc w:val="both"/>
              <w:rPr>
                <w:color w:val="000000"/>
                <w:kern w:val="2"/>
                <w:sz w:val="20"/>
                <w:szCs w:val="20"/>
              </w:rPr>
            </w:pPr>
            <w:r w:rsidRPr="004128BC">
              <w:rPr>
                <w:color w:val="000000"/>
                <w:kern w:val="2"/>
                <w:sz w:val="20"/>
                <w:szCs w:val="20"/>
              </w:rPr>
              <w:t>Q19</w:t>
            </w:r>
          </w:p>
        </w:tc>
        <w:tc>
          <w:tcPr>
            <w:tcW w:w="2237" w:type="dxa"/>
            <w:shd w:val="clear" w:color="auto" w:fill="D5DCE4" w:themeFill="text2" w:themeFillTint="33"/>
            <w:tcMar>
              <w:top w:w="0" w:type="dxa"/>
              <w:left w:w="108" w:type="dxa"/>
              <w:bottom w:w="0" w:type="dxa"/>
              <w:right w:w="108" w:type="dxa"/>
            </w:tcMar>
            <w:hideMark/>
          </w:tcPr>
          <w:p w14:paraId="36204407" w14:textId="77777777" w:rsidR="00945A32" w:rsidRPr="00984F4A" w:rsidRDefault="00945A32" w:rsidP="00B5032F">
            <w:pPr>
              <w:rPr>
                <w:kern w:val="2"/>
                <w:sz w:val="20"/>
                <w:szCs w:val="20"/>
              </w:rPr>
            </w:pPr>
            <w:r w:rsidRPr="00D9013D">
              <w:rPr>
                <w:kern w:val="2"/>
                <w:sz w:val="20"/>
                <w:szCs w:val="20"/>
              </w:rPr>
              <w:t xml:space="preserve">RFP Appendix 6 – </w:t>
            </w:r>
            <w:bookmarkStart w:id="3" w:name="_Hlk162599742"/>
            <w:r w:rsidRPr="00D9013D">
              <w:rPr>
                <w:sz w:val="20"/>
                <w:szCs w:val="20"/>
              </w:rPr>
              <w:t>Program Agreement – RFP ETD0052 Health Savings Account Program</w:t>
            </w:r>
            <w:bookmarkEnd w:id="3"/>
            <w:r w:rsidRPr="00D9013D">
              <w:rPr>
                <w:sz w:val="20"/>
                <w:szCs w:val="20"/>
              </w:rPr>
              <w:t xml:space="preserve"> </w:t>
            </w:r>
            <w:r w:rsidRPr="00D9013D">
              <w:rPr>
                <w:kern w:val="2"/>
                <w:sz w:val="20"/>
                <w:szCs w:val="20"/>
              </w:rPr>
              <w:t xml:space="preserve">Section 135B 2. </w:t>
            </w:r>
            <w:r w:rsidRPr="00D9013D">
              <w:rPr>
                <w:sz w:val="20"/>
                <w:szCs w:val="20"/>
              </w:rPr>
              <w:t>Administrative Fee Invoicing</w:t>
            </w:r>
          </w:p>
        </w:tc>
        <w:tc>
          <w:tcPr>
            <w:tcW w:w="1111" w:type="dxa"/>
            <w:gridSpan w:val="2"/>
            <w:shd w:val="clear" w:color="auto" w:fill="D5DCE4" w:themeFill="text2" w:themeFillTint="33"/>
            <w:tcMar>
              <w:top w:w="0" w:type="dxa"/>
              <w:left w:w="108" w:type="dxa"/>
              <w:bottom w:w="0" w:type="dxa"/>
              <w:right w:w="108" w:type="dxa"/>
            </w:tcMar>
            <w:hideMark/>
          </w:tcPr>
          <w:p w14:paraId="0EDE7F69" w14:textId="77777777" w:rsidR="00945A32" w:rsidRPr="00984F4A" w:rsidRDefault="00945A32" w:rsidP="00B5032F">
            <w:pPr>
              <w:rPr>
                <w:kern w:val="2"/>
                <w:sz w:val="20"/>
                <w:szCs w:val="20"/>
              </w:rPr>
            </w:pPr>
            <w:r w:rsidRPr="00984F4A">
              <w:rPr>
                <w:kern w:val="2"/>
                <w:sz w:val="20"/>
                <w:szCs w:val="20"/>
              </w:rPr>
              <w:t>21</w:t>
            </w:r>
          </w:p>
        </w:tc>
        <w:tc>
          <w:tcPr>
            <w:tcW w:w="2688" w:type="dxa"/>
            <w:shd w:val="clear" w:color="auto" w:fill="D5DCE4" w:themeFill="text2" w:themeFillTint="33"/>
            <w:tcMar>
              <w:top w:w="0" w:type="dxa"/>
              <w:left w:w="108" w:type="dxa"/>
              <w:bottom w:w="0" w:type="dxa"/>
              <w:right w:w="108" w:type="dxa"/>
            </w:tcMar>
            <w:hideMark/>
          </w:tcPr>
          <w:p w14:paraId="08CAA1D6" w14:textId="77777777" w:rsidR="00945A32" w:rsidRPr="00984F4A" w:rsidRDefault="00945A32" w:rsidP="00B5032F">
            <w:pPr>
              <w:rPr>
                <w:kern w:val="2"/>
                <w:sz w:val="20"/>
                <w:szCs w:val="20"/>
              </w:rPr>
            </w:pPr>
            <w:r w:rsidRPr="00984F4A">
              <w:rPr>
                <w:kern w:val="2"/>
                <w:sz w:val="20"/>
                <w:szCs w:val="20"/>
              </w:rPr>
              <w:t>Please clarify when the Department want to receive invoices; it states first of the month, however, there is a SLA that states by the 15</w:t>
            </w:r>
            <w:r w:rsidRPr="00984F4A">
              <w:rPr>
                <w:kern w:val="2"/>
                <w:sz w:val="20"/>
                <w:szCs w:val="20"/>
                <w:vertAlign w:val="superscript"/>
              </w:rPr>
              <w:t>th</w:t>
            </w:r>
            <w:r w:rsidRPr="00984F4A">
              <w:rPr>
                <w:kern w:val="2"/>
                <w:sz w:val="20"/>
                <w:szCs w:val="20"/>
              </w:rPr>
              <w:t xml:space="preserve"> of the month.</w:t>
            </w:r>
          </w:p>
        </w:tc>
        <w:tc>
          <w:tcPr>
            <w:tcW w:w="3251" w:type="dxa"/>
            <w:shd w:val="clear" w:color="auto" w:fill="D5DCE4" w:themeFill="text2" w:themeFillTint="33"/>
            <w:tcMar>
              <w:top w:w="0" w:type="dxa"/>
              <w:left w:w="108" w:type="dxa"/>
              <w:bottom w:w="0" w:type="dxa"/>
              <w:right w:w="108" w:type="dxa"/>
            </w:tcMar>
          </w:tcPr>
          <w:p w14:paraId="60AF352E" w14:textId="77777777" w:rsidR="00945A32" w:rsidRPr="00D9013D" w:rsidRDefault="00945A32" w:rsidP="00B5032F">
            <w:pPr>
              <w:spacing w:after="60"/>
              <w:rPr>
                <w:kern w:val="2"/>
                <w:sz w:val="20"/>
                <w:szCs w:val="20"/>
              </w:rPr>
            </w:pPr>
            <w:r w:rsidRPr="00D9013D">
              <w:rPr>
                <w:kern w:val="2"/>
                <w:sz w:val="20"/>
                <w:szCs w:val="20"/>
              </w:rPr>
              <w:t xml:space="preserve">Contractors must provide administrative fee invoices to the Department by the 15th of each month. </w:t>
            </w:r>
          </w:p>
          <w:p w14:paraId="3C980685" w14:textId="77777777" w:rsidR="00945A32" w:rsidRPr="00984F4A" w:rsidRDefault="00945A32" w:rsidP="00B5032F">
            <w:pPr>
              <w:rPr>
                <w:kern w:val="2"/>
                <w:sz w:val="20"/>
                <w:szCs w:val="20"/>
              </w:rPr>
            </w:pPr>
            <w:r w:rsidRPr="00D9013D">
              <w:rPr>
                <w:kern w:val="2"/>
                <w:sz w:val="20"/>
                <w:szCs w:val="20"/>
              </w:rPr>
              <w:t xml:space="preserve">Administrative fee invoices are based on the number of active participants in the benefit program within the Contractor’s processing system on the 1st of the month for the month </w:t>
            </w:r>
            <w:r>
              <w:rPr>
                <w:kern w:val="2"/>
                <w:sz w:val="20"/>
                <w:szCs w:val="20"/>
              </w:rPr>
              <w:t xml:space="preserve">being </w:t>
            </w:r>
            <w:r w:rsidRPr="00D9013D">
              <w:rPr>
                <w:kern w:val="2"/>
                <w:sz w:val="20"/>
                <w:szCs w:val="20"/>
              </w:rPr>
              <w:t>invoiced.</w:t>
            </w:r>
          </w:p>
        </w:tc>
      </w:tr>
      <w:tr w:rsidR="00B27F16" w:rsidRPr="004128BC" w14:paraId="14BCFC9C" w14:textId="77777777" w:rsidTr="00B27F16">
        <w:tblPrEx>
          <w:tblCellMar>
            <w:left w:w="0" w:type="dxa"/>
            <w:right w:w="0" w:type="dxa"/>
          </w:tblCellMar>
        </w:tblPrEx>
        <w:trPr>
          <w:gridAfter w:val="1"/>
          <w:wAfter w:w="13" w:type="dxa"/>
        </w:trPr>
        <w:tc>
          <w:tcPr>
            <w:tcW w:w="733" w:type="dxa"/>
            <w:gridSpan w:val="2"/>
            <w:shd w:val="clear" w:color="auto" w:fill="E7E6E6" w:themeFill="background2"/>
            <w:tcMar>
              <w:top w:w="0" w:type="dxa"/>
              <w:left w:w="108" w:type="dxa"/>
              <w:bottom w:w="0" w:type="dxa"/>
              <w:right w:w="108" w:type="dxa"/>
            </w:tcMar>
            <w:hideMark/>
          </w:tcPr>
          <w:p w14:paraId="1B9EC36A" w14:textId="77777777" w:rsidR="00945A32" w:rsidRPr="004128BC" w:rsidRDefault="00945A32" w:rsidP="00B5032F">
            <w:pPr>
              <w:jc w:val="both"/>
              <w:rPr>
                <w:color w:val="000000"/>
                <w:kern w:val="2"/>
                <w:sz w:val="20"/>
                <w:szCs w:val="20"/>
              </w:rPr>
            </w:pPr>
            <w:r w:rsidRPr="004128BC">
              <w:rPr>
                <w:color w:val="000000"/>
                <w:kern w:val="2"/>
                <w:sz w:val="20"/>
                <w:szCs w:val="20"/>
              </w:rPr>
              <w:t>Q20</w:t>
            </w:r>
          </w:p>
        </w:tc>
        <w:tc>
          <w:tcPr>
            <w:tcW w:w="2237" w:type="dxa"/>
            <w:shd w:val="clear" w:color="auto" w:fill="E7E6E6" w:themeFill="background2"/>
            <w:tcMar>
              <w:top w:w="0" w:type="dxa"/>
              <w:left w:w="108" w:type="dxa"/>
              <w:bottom w:w="0" w:type="dxa"/>
              <w:right w:w="108" w:type="dxa"/>
            </w:tcMar>
            <w:hideMark/>
          </w:tcPr>
          <w:p w14:paraId="34BB8436" w14:textId="77777777" w:rsidR="00945A32" w:rsidRPr="00D9013D" w:rsidRDefault="00945A32" w:rsidP="00B5032F">
            <w:pPr>
              <w:rPr>
                <w:kern w:val="2"/>
                <w:sz w:val="20"/>
                <w:szCs w:val="20"/>
              </w:rPr>
            </w:pPr>
            <w:r w:rsidRPr="00D9013D">
              <w:rPr>
                <w:kern w:val="2"/>
                <w:sz w:val="20"/>
                <w:szCs w:val="20"/>
              </w:rPr>
              <w:t xml:space="preserve">RFP </w:t>
            </w:r>
            <w:r w:rsidRPr="00984F4A">
              <w:rPr>
                <w:kern w:val="2"/>
                <w:sz w:val="20"/>
                <w:szCs w:val="20"/>
              </w:rPr>
              <w:t xml:space="preserve">Appendix 6 – </w:t>
            </w:r>
            <w:r w:rsidRPr="00D9013D">
              <w:rPr>
                <w:kern w:val="2"/>
                <w:sz w:val="20"/>
                <w:szCs w:val="20"/>
              </w:rPr>
              <w:t>Program Agreement - RFP ETD0052</w:t>
            </w:r>
          </w:p>
          <w:p w14:paraId="18CBE921" w14:textId="77777777" w:rsidR="00945A32" w:rsidRPr="00D9013D" w:rsidRDefault="00945A32" w:rsidP="00B5032F">
            <w:pPr>
              <w:rPr>
                <w:kern w:val="2"/>
                <w:sz w:val="20"/>
                <w:szCs w:val="20"/>
              </w:rPr>
            </w:pPr>
            <w:r w:rsidRPr="00D9013D">
              <w:rPr>
                <w:kern w:val="2"/>
                <w:sz w:val="20"/>
                <w:szCs w:val="20"/>
              </w:rPr>
              <w:t xml:space="preserve">Health Savings Account Program </w:t>
            </w:r>
            <w:r w:rsidRPr="00984F4A">
              <w:rPr>
                <w:kern w:val="2"/>
                <w:sz w:val="20"/>
                <w:szCs w:val="20"/>
              </w:rPr>
              <w:t>Section 135B</w:t>
            </w:r>
            <w:r w:rsidRPr="00D9013D">
              <w:rPr>
                <w:kern w:val="2"/>
                <w:sz w:val="20"/>
                <w:szCs w:val="20"/>
              </w:rPr>
              <w:t>.</w:t>
            </w:r>
            <w:r w:rsidRPr="00984F4A">
              <w:rPr>
                <w:kern w:val="2"/>
                <w:sz w:val="20"/>
                <w:szCs w:val="20"/>
              </w:rPr>
              <w:t>7</w:t>
            </w:r>
          </w:p>
          <w:p w14:paraId="61BB64D6" w14:textId="77777777" w:rsidR="00945A32" w:rsidRPr="00984F4A" w:rsidRDefault="00945A32" w:rsidP="00B5032F">
            <w:pPr>
              <w:rPr>
                <w:kern w:val="2"/>
                <w:sz w:val="20"/>
                <w:szCs w:val="20"/>
              </w:rPr>
            </w:pPr>
            <w:r w:rsidRPr="00D9013D">
              <w:rPr>
                <w:kern w:val="2"/>
                <w:sz w:val="20"/>
                <w:szCs w:val="20"/>
              </w:rPr>
              <w:lastRenderedPageBreak/>
              <w:t>Amounts owed by Contractor</w:t>
            </w:r>
          </w:p>
        </w:tc>
        <w:tc>
          <w:tcPr>
            <w:tcW w:w="1111" w:type="dxa"/>
            <w:gridSpan w:val="2"/>
            <w:shd w:val="clear" w:color="auto" w:fill="E7E6E6" w:themeFill="background2"/>
            <w:tcMar>
              <w:top w:w="0" w:type="dxa"/>
              <w:left w:w="108" w:type="dxa"/>
              <w:bottom w:w="0" w:type="dxa"/>
              <w:right w:w="108" w:type="dxa"/>
            </w:tcMar>
            <w:hideMark/>
          </w:tcPr>
          <w:p w14:paraId="6D185B61" w14:textId="77777777" w:rsidR="00945A32" w:rsidRPr="00984F4A" w:rsidRDefault="00945A32" w:rsidP="00B5032F">
            <w:pPr>
              <w:rPr>
                <w:kern w:val="2"/>
                <w:sz w:val="20"/>
                <w:szCs w:val="20"/>
              </w:rPr>
            </w:pPr>
            <w:r w:rsidRPr="00984F4A">
              <w:rPr>
                <w:kern w:val="2"/>
                <w:sz w:val="20"/>
                <w:szCs w:val="20"/>
              </w:rPr>
              <w:lastRenderedPageBreak/>
              <w:t>21</w:t>
            </w:r>
          </w:p>
        </w:tc>
        <w:tc>
          <w:tcPr>
            <w:tcW w:w="2688" w:type="dxa"/>
            <w:shd w:val="clear" w:color="auto" w:fill="E7E6E6" w:themeFill="background2"/>
            <w:tcMar>
              <w:top w:w="0" w:type="dxa"/>
              <w:left w:w="108" w:type="dxa"/>
              <w:bottom w:w="0" w:type="dxa"/>
              <w:right w:w="108" w:type="dxa"/>
            </w:tcMar>
            <w:hideMark/>
          </w:tcPr>
          <w:p w14:paraId="5A7678D2" w14:textId="77777777" w:rsidR="00945A32" w:rsidRPr="00984F4A" w:rsidRDefault="00945A32" w:rsidP="00B5032F">
            <w:pPr>
              <w:rPr>
                <w:kern w:val="2"/>
                <w:sz w:val="20"/>
                <w:szCs w:val="20"/>
              </w:rPr>
            </w:pPr>
            <w:r w:rsidRPr="00984F4A">
              <w:rPr>
                <w:kern w:val="2"/>
                <w:sz w:val="20"/>
                <w:szCs w:val="20"/>
              </w:rPr>
              <w:t>Performance Guarantees – can we report on quarterly performance and payout annually?</w:t>
            </w:r>
          </w:p>
        </w:tc>
        <w:tc>
          <w:tcPr>
            <w:tcW w:w="3251" w:type="dxa"/>
            <w:shd w:val="clear" w:color="auto" w:fill="E7E6E6" w:themeFill="background2"/>
            <w:tcMar>
              <w:top w:w="0" w:type="dxa"/>
              <w:left w:w="108" w:type="dxa"/>
              <w:bottom w:w="0" w:type="dxa"/>
              <w:right w:w="108" w:type="dxa"/>
            </w:tcMar>
          </w:tcPr>
          <w:p w14:paraId="0E05EF60" w14:textId="77777777" w:rsidR="00945A32" w:rsidRPr="00984F4A" w:rsidRDefault="00945A32" w:rsidP="00B5032F">
            <w:pPr>
              <w:rPr>
                <w:kern w:val="2"/>
                <w:sz w:val="20"/>
                <w:szCs w:val="20"/>
              </w:rPr>
            </w:pPr>
            <w:r w:rsidRPr="00D9013D">
              <w:rPr>
                <w:kern w:val="2"/>
                <w:sz w:val="20"/>
                <w:szCs w:val="20"/>
              </w:rPr>
              <w:t>No, the Department will review the Contractor’s quarterly performance reports and invoice the Contractor for penalty fees on a quarterly basis (if penalty fees are due for the quarter).</w:t>
            </w:r>
          </w:p>
        </w:tc>
      </w:tr>
      <w:tr w:rsidR="00B27F16" w:rsidRPr="004128BC" w14:paraId="5B720F3C" w14:textId="77777777" w:rsidTr="00B27F16">
        <w:tblPrEx>
          <w:tblCellMar>
            <w:left w:w="0" w:type="dxa"/>
            <w:right w:w="0" w:type="dxa"/>
          </w:tblCellMar>
        </w:tblPrEx>
        <w:trPr>
          <w:gridAfter w:val="1"/>
          <w:wAfter w:w="13" w:type="dxa"/>
        </w:trPr>
        <w:tc>
          <w:tcPr>
            <w:tcW w:w="733" w:type="dxa"/>
            <w:gridSpan w:val="2"/>
            <w:shd w:val="clear" w:color="auto" w:fill="D5DCE4" w:themeFill="text2" w:themeFillTint="33"/>
            <w:tcMar>
              <w:top w:w="0" w:type="dxa"/>
              <w:left w:w="108" w:type="dxa"/>
              <w:bottom w:w="0" w:type="dxa"/>
              <w:right w:w="108" w:type="dxa"/>
            </w:tcMar>
            <w:hideMark/>
          </w:tcPr>
          <w:p w14:paraId="3133B222" w14:textId="77777777" w:rsidR="00945A32" w:rsidRPr="004128BC" w:rsidRDefault="00945A32" w:rsidP="00B5032F">
            <w:pPr>
              <w:jc w:val="both"/>
              <w:rPr>
                <w:color w:val="000000"/>
                <w:kern w:val="2"/>
                <w:sz w:val="20"/>
                <w:szCs w:val="20"/>
              </w:rPr>
            </w:pPr>
            <w:r w:rsidRPr="004128BC">
              <w:rPr>
                <w:color w:val="000000"/>
                <w:kern w:val="2"/>
                <w:sz w:val="20"/>
                <w:szCs w:val="20"/>
              </w:rPr>
              <w:t>Q21</w:t>
            </w:r>
          </w:p>
        </w:tc>
        <w:tc>
          <w:tcPr>
            <w:tcW w:w="2237" w:type="dxa"/>
            <w:shd w:val="clear" w:color="auto" w:fill="D5DCE4" w:themeFill="text2" w:themeFillTint="33"/>
            <w:tcMar>
              <w:top w:w="0" w:type="dxa"/>
              <w:left w:w="108" w:type="dxa"/>
              <w:bottom w:w="0" w:type="dxa"/>
              <w:right w:w="108" w:type="dxa"/>
            </w:tcMar>
            <w:hideMark/>
          </w:tcPr>
          <w:p w14:paraId="27458471" w14:textId="77777777" w:rsidR="00945A32" w:rsidRPr="00D9013D" w:rsidRDefault="00945A32" w:rsidP="00B5032F">
            <w:pPr>
              <w:rPr>
                <w:kern w:val="2"/>
                <w:sz w:val="20"/>
                <w:szCs w:val="20"/>
              </w:rPr>
            </w:pPr>
            <w:r w:rsidRPr="00D9013D">
              <w:rPr>
                <w:kern w:val="2"/>
                <w:sz w:val="20"/>
                <w:szCs w:val="20"/>
              </w:rPr>
              <w:t xml:space="preserve">RFP </w:t>
            </w:r>
            <w:r w:rsidRPr="00984F4A">
              <w:rPr>
                <w:kern w:val="2"/>
                <w:sz w:val="20"/>
                <w:szCs w:val="20"/>
              </w:rPr>
              <w:t xml:space="preserve">Appendix 6 – </w:t>
            </w:r>
            <w:r w:rsidRPr="00D9013D">
              <w:rPr>
                <w:kern w:val="2"/>
                <w:sz w:val="20"/>
                <w:szCs w:val="20"/>
              </w:rPr>
              <w:t>Program Agreement – RFP ETD0052</w:t>
            </w:r>
          </w:p>
          <w:p w14:paraId="30F69E78" w14:textId="77777777" w:rsidR="00945A32" w:rsidRPr="00D9013D" w:rsidRDefault="00945A32" w:rsidP="00B5032F">
            <w:pPr>
              <w:rPr>
                <w:kern w:val="2"/>
                <w:sz w:val="20"/>
                <w:szCs w:val="20"/>
              </w:rPr>
            </w:pPr>
            <w:r w:rsidRPr="00D9013D">
              <w:rPr>
                <w:kern w:val="2"/>
                <w:sz w:val="20"/>
                <w:szCs w:val="20"/>
              </w:rPr>
              <w:t xml:space="preserve">Health Savings Account Program </w:t>
            </w:r>
            <w:r w:rsidRPr="00984F4A">
              <w:rPr>
                <w:kern w:val="2"/>
                <w:sz w:val="20"/>
                <w:szCs w:val="20"/>
              </w:rPr>
              <w:t>Section 135C</w:t>
            </w:r>
            <w:r w:rsidRPr="00D9013D">
              <w:rPr>
                <w:kern w:val="2"/>
                <w:sz w:val="20"/>
                <w:szCs w:val="20"/>
              </w:rPr>
              <w:t>.</w:t>
            </w:r>
            <w:r w:rsidRPr="00984F4A">
              <w:rPr>
                <w:kern w:val="2"/>
                <w:sz w:val="20"/>
                <w:szCs w:val="20"/>
              </w:rPr>
              <w:t>1</w:t>
            </w:r>
          </w:p>
          <w:p w14:paraId="002A3D03" w14:textId="77777777" w:rsidR="00945A32" w:rsidRPr="00984F4A" w:rsidRDefault="00945A32" w:rsidP="00B5032F">
            <w:pPr>
              <w:rPr>
                <w:kern w:val="2"/>
                <w:sz w:val="20"/>
                <w:szCs w:val="20"/>
              </w:rPr>
            </w:pPr>
            <w:r w:rsidRPr="00D9013D">
              <w:rPr>
                <w:kern w:val="2"/>
                <w:sz w:val="20"/>
                <w:szCs w:val="20"/>
              </w:rPr>
              <w:t>Payroll deductions for HSA Contributions</w:t>
            </w:r>
          </w:p>
        </w:tc>
        <w:tc>
          <w:tcPr>
            <w:tcW w:w="1111" w:type="dxa"/>
            <w:gridSpan w:val="2"/>
            <w:shd w:val="clear" w:color="auto" w:fill="D5DCE4" w:themeFill="text2" w:themeFillTint="33"/>
            <w:tcMar>
              <w:top w:w="0" w:type="dxa"/>
              <w:left w:w="108" w:type="dxa"/>
              <w:bottom w:w="0" w:type="dxa"/>
              <w:right w:w="108" w:type="dxa"/>
            </w:tcMar>
            <w:hideMark/>
          </w:tcPr>
          <w:p w14:paraId="6F734047" w14:textId="77777777" w:rsidR="00945A32" w:rsidRPr="00984F4A" w:rsidRDefault="00945A32" w:rsidP="00B5032F">
            <w:pPr>
              <w:rPr>
                <w:kern w:val="2"/>
                <w:sz w:val="20"/>
                <w:szCs w:val="20"/>
              </w:rPr>
            </w:pPr>
            <w:r w:rsidRPr="00984F4A">
              <w:rPr>
                <w:kern w:val="2"/>
                <w:sz w:val="20"/>
                <w:szCs w:val="20"/>
              </w:rPr>
              <w:t>21</w:t>
            </w:r>
          </w:p>
        </w:tc>
        <w:tc>
          <w:tcPr>
            <w:tcW w:w="2688" w:type="dxa"/>
            <w:shd w:val="clear" w:color="auto" w:fill="D5DCE4" w:themeFill="text2" w:themeFillTint="33"/>
            <w:tcMar>
              <w:top w:w="0" w:type="dxa"/>
              <w:left w:w="108" w:type="dxa"/>
              <w:bottom w:w="0" w:type="dxa"/>
              <w:right w:w="108" w:type="dxa"/>
            </w:tcMar>
            <w:hideMark/>
          </w:tcPr>
          <w:p w14:paraId="3375D9BC" w14:textId="77777777" w:rsidR="00945A32" w:rsidRPr="00984F4A" w:rsidRDefault="00945A32" w:rsidP="00B5032F">
            <w:pPr>
              <w:rPr>
                <w:kern w:val="2"/>
                <w:sz w:val="20"/>
                <w:szCs w:val="20"/>
              </w:rPr>
            </w:pPr>
            <w:r w:rsidRPr="00984F4A">
              <w:rPr>
                <w:kern w:val="2"/>
                <w:sz w:val="20"/>
                <w:szCs w:val="20"/>
              </w:rPr>
              <w:t>Do you have a separate HSA custodian?</w:t>
            </w:r>
          </w:p>
        </w:tc>
        <w:tc>
          <w:tcPr>
            <w:tcW w:w="3251" w:type="dxa"/>
            <w:shd w:val="clear" w:color="auto" w:fill="D5DCE4" w:themeFill="text2" w:themeFillTint="33"/>
            <w:tcMar>
              <w:top w:w="0" w:type="dxa"/>
              <w:left w:w="108" w:type="dxa"/>
              <w:bottom w:w="0" w:type="dxa"/>
              <w:right w:w="108" w:type="dxa"/>
            </w:tcMar>
          </w:tcPr>
          <w:p w14:paraId="4B2EBF69" w14:textId="77777777" w:rsidR="00945A32" w:rsidRPr="00984F4A" w:rsidRDefault="00945A32" w:rsidP="00B5032F">
            <w:pPr>
              <w:rPr>
                <w:kern w:val="2"/>
                <w:sz w:val="20"/>
                <w:szCs w:val="20"/>
              </w:rPr>
            </w:pPr>
            <w:r w:rsidRPr="00D9013D">
              <w:rPr>
                <w:kern w:val="2"/>
                <w:sz w:val="20"/>
                <w:szCs w:val="20"/>
              </w:rPr>
              <w:t>No, the Department does not have a separate HSA custodian.</w:t>
            </w:r>
            <w:r>
              <w:rPr>
                <w:kern w:val="2"/>
                <w:sz w:val="20"/>
                <w:szCs w:val="20"/>
              </w:rPr>
              <w:t xml:space="preserve"> However, the RFP allows for a single Contractor for both Contracts or a different Contractor for each Contract. </w:t>
            </w:r>
            <w:r w:rsidRPr="00D9013D">
              <w:rPr>
                <w:kern w:val="2"/>
                <w:sz w:val="20"/>
                <w:szCs w:val="20"/>
              </w:rPr>
              <w:t xml:space="preserve"> </w:t>
            </w:r>
          </w:p>
        </w:tc>
      </w:tr>
      <w:tr w:rsidR="00B27F16" w:rsidRPr="004128BC" w14:paraId="754EFC63" w14:textId="77777777" w:rsidTr="00B27F16">
        <w:tblPrEx>
          <w:tblCellMar>
            <w:left w:w="0" w:type="dxa"/>
            <w:right w:w="0" w:type="dxa"/>
          </w:tblCellMar>
        </w:tblPrEx>
        <w:trPr>
          <w:gridAfter w:val="1"/>
          <w:wAfter w:w="13" w:type="dxa"/>
          <w:trHeight w:val="863"/>
        </w:trPr>
        <w:tc>
          <w:tcPr>
            <w:tcW w:w="733" w:type="dxa"/>
            <w:gridSpan w:val="2"/>
            <w:shd w:val="clear" w:color="auto" w:fill="E7E6E6" w:themeFill="background2"/>
            <w:tcMar>
              <w:top w:w="0" w:type="dxa"/>
              <w:left w:w="108" w:type="dxa"/>
              <w:bottom w:w="0" w:type="dxa"/>
              <w:right w:w="108" w:type="dxa"/>
            </w:tcMar>
            <w:hideMark/>
          </w:tcPr>
          <w:p w14:paraId="41BF66CF" w14:textId="77777777" w:rsidR="00945A32" w:rsidRPr="004128BC" w:rsidRDefault="00945A32" w:rsidP="00B5032F">
            <w:pPr>
              <w:jc w:val="both"/>
              <w:rPr>
                <w:color w:val="000000"/>
                <w:kern w:val="2"/>
                <w:sz w:val="20"/>
                <w:szCs w:val="20"/>
              </w:rPr>
            </w:pPr>
            <w:r w:rsidRPr="004128BC">
              <w:rPr>
                <w:color w:val="000000"/>
                <w:kern w:val="2"/>
                <w:sz w:val="20"/>
                <w:szCs w:val="20"/>
              </w:rPr>
              <w:t>Q22.</w:t>
            </w:r>
          </w:p>
        </w:tc>
        <w:tc>
          <w:tcPr>
            <w:tcW w:w="2237" w:type="dxa"/>
            <w:shd w:val="clear" w:color="auto" w:fill="E7E6E6" w:themeFill="background2"/>
            <w:tcMar>
              <w:top w:w="0" w:type="dxa"/>
              <w:left w:w="108" w:type="dxa"/>
              <w:bottom w:w="0" w:type="dxa"/>
              <w:right w:w="108" w:type="dxa"/>
            </w:tcMar>
            <w:hideMark/>
          </w:tcPr>
          <w:p w14:paraId="66D7F042" w14:textId="77777777" w:rsidR="00945A32" w:rsidRPr="00D9013D" w:rsidRDefault="00945A32" w:rsidP="00B5032F">
            <w:pPr>
              <w:rPr>
                <w:kern w:val="2"/>
                <w:sz w:val="20"/>
                <w:szCs w:val="20"/>
              </w:rPr>
            </w:pPr>
            <w:r w:rsidRPr="00D9013D">
              <w:rPr>
                <w:kern w:val="2"/>
                <w:sz w:val="20"/>
                <w:szCs w:val="20"/>
              </w:rPr>
              <w:t xml:space="preserve">RFP </w:t>
            </w:r>
            <w:r w:rsidRPr="00984F4A">
              <w:rPr>
                <w:kern w:val="2"/>
                <w:sz w:val="20"/>
                <w:szCs w:val="20"/>
              </w:rPr>
              <w:t xml:space="preserve">Appendix 6 – </w:t>
            </w:r>
            <w:r w:rsidRPr="00D9013D">
              <w:rPr>
                <w:kern w:val="2"/>
                <w:sz w:val="20"/>
                <w:szCs w:val="20"/>
              </w:rPr>
              <w:t>Program Agreement - RFP ETD0052</w:t>
            </w:r>
          </w:p>
          <w:p w14:paraId="052904BF" w14:textId="77777777" w:rsidR="00945A32" w:rsidRPr="00984F4A" w:rsidRDefault="00945A32" w:rsidP="00B5032F">
            <w:pPr>
              <w:rPr>
                <w:kern w:val="2"/>
                <w:sz w:val="20"/>
                <w:szCs w:val="20"/>
              </w:rPr>
            </w:pPr>
            <w:r w:rsidRPr="00D9013D">
              <w:rPr>
                <w:kern w:val="2"/>
                <w:sz w:val="20"/>
                <w:szCs w:val="20"/>
              </w:rPr>
              <w:t xml:space="preserve">Health Savings Account Program </w:t>
            </w:r>
            <w:r w:rsidRPr="00984F4A">
              <w:rPr>
                <w:kern w:val="2"/>
                <w:sz w:val="20"/>
                <w:szCs w:val="20"/>
              </w:rPr>
              <w:t>Section 150F</w:t>
            </w:r>
            <w:r w:rsidRPr="00D9013D">
              <w:rPr>
                <w:kern w:val="2"/>
                <w:sz w:val="20"/>
                <w:szCs w:val="20"/>
              </w:rPr>
              <w:t>.</w:t>
            </w:r>
            <w:r w:rsidRPr="00984F4A">
              <w:rPr>
                <w:kern w:val="2"/>
                <w:sz w:val="20"/>
                <w:szCs w:val="20"/>
              </w:rPr>
              <w:t>4</w:t>
            </w:r>
            <w:r w:rsidRPr="00D9013D">
              <w:rPr>
                <w:kern w:val="2"/>
                <w:sz w:val="20"/>
                <w:szCs w:val="20"/>
              </w:rPr>
              <w:t xml:space="preserve"> Delays in submitting data</w:t>
            </w:r>
          </w:p>
        </w:tc>
        <w:tc>
          <w:tcPr>
            <w:tcW w:w="1111" w:type="dxa"/>
            <w:gridSpan w:val="2"/>
            <w:shd w:val="clear" w:color="auto" w:fill="E7E6E6" w:themeFill="background2"/>
            <w:tcMar>
              <w:top w:w="0" w:type="dxa"/>
              <w:left w:w="108" w:type="dxa"/>
              <w:bottom w:w="0" w:type="dxa"/>
              <w:right w:w="108" w:type="dxa"/>
            </w:tcMar>
            <w:hideMark/>
          </w:tcPr>
          <w:p w14:paraId="11A7D507" w14:textId="77777777" w:rsidR="00945A32" w:rsidRPr="00984F4A" w:rsidRDefault="00945A32" w:rsidP="00B5032F">
            <w:pPr>
              <w:rPr>
                <w:kern w:val="2"/>
                <w:sz w:val="20"/>
                <w:szCs w:val="20"/>
              </w:rPr>
            </w:pPr>
            <w:r w:rsidRPr="00984F4A">
              <w:rPr>
                <w:kern w:val="2"/>
                <w:sz w:val="20"/>
                <w:szCs w:val="20"/>
              </w:rPr>
              <w:t>21</w:t>
            </w:r>
          </w:p>
        </w:tc>
        <w:tc>
          <w:tcPr>
            <w:tcW w:w="2688" w:type="dxa"/>
            <w:shd w:val="clear" w:color="auto" w:fill="E7E6E6" w:themeFill="background2"/>
            <w:tcMar>
              <w:top w:w="0" w:type="dxa"/>
              <w:left w:w="108" w:type="dxa"/>
              <w:bottom w:w="0" w:type="dxa"/>
              <w:right w:w="108" w:type="dxa"/>
            </w:tcMar>
            <w:hideMark/>
          </w:tcPr>
          <w:p w14:paraId="6EA42583" w14:textId="77777777" w:rsidR="00945A32" w:rsidRPr="00984F4A" w:rsidRDefault="00945A32" w:rsidP="00B5032F">
            <w:pPr>
              <w:rPr>
                <w:kern w:val="2"/>
                <w:sz w:val="20"/>
                <w:szCs w:val="20"/>
              </w:rPr>
            </w:pPr>
            <w:r w:rsidRPr="00984F4A">
              <w:rPr>
                <w:kern w:val="2"/>
                <w:sz w:val="20"/>
                <w:szCs w:val="20"/>
              </w:rPr>
              <w:t>Who is your current data warehouse vendor?</w:t>
            </w:r>
          </w:p>
        </w:tc>
        <w:tc>
          <w:tcPr>
            <w:tcW w:w="3251" w:type="dxa"/>
            <w:shd w:val="clear" w:color="auto" w:fill="E7E6E6" w:themeFill="background2"/>
            <w:tcMar>
              <w:top w:w="0" w:type="dxa"/>
              <w:left w:w="108" w:type="dxa"/>
              <w:bottom w:w="0" w:type="dxa"/>
              <w:right w:w="108" w:type="dxa"/>
            </w:tcMar>
          </w:tcPr>
          <w:p w14:paraId="2A4006BB" w14:textId="77777777" w:rsidR="00945A32" w:rsidRPr="00984F4A" w:rsidRDefault="00945A32" w:rsidP="00B5032F">
            <w:pPr>
              <w:rPr>
                <w:kern w:val="2"/>
                <w:sz w:val="20"/>
                <w:szCs w:val="20"/>
              </w:rPr>
            </w:pPr>
            <w:r>
              <w:rPr>
                <w:kern w:val="2"/>
                <w:sz w:val="20"/>
                <w:szCs w:val="20"/>
              </w:rPr>
              <w:t xml:space="preserve">Merative, formerly IBM Watson Health; </w:t>
            </w:r>
            <w:r w:rsidRPr="002372F8">
              <w:rPr>
                <w:kern w:val="2"/>
                <w:sz w:val="20"/>
                <w:szCs w:val="20"/>
              </w:rPr>
              <w:t>https://www.merative.com/</w:t>
            </w:r>
          </w:p>
        </w:tc>
      </w:tr>
      <w:tr w:rsidR="00B27F16" w:rsidRPr="004128BC" w14:paraId="398C2AEB" w14:textId="77777777" w:rsidTr="00B27F16">
        <w:tblPrEx>
          <w:tblCellMar>
            <w:left w:w="0" w:type="dxa"/>
            <w:right w:w="0" w:type="dxa"/>
          </w:tblCellMar>
        </w:tblPrEx>
        <w:trPr>
          <w:gridAfter w:val="1"/>
          <w:wAfter w:w="13" w:type="dxa"/>
        </w:trPr>
        <w:tc>
          <w:tcPr>
            <w:tcW w:w="733" w:type="dxa"/>
            <w:gridSpan w:val="2"/>
            <w:shd w:val="clear" w:color="auto" w:fill="D5DCE4" w:themeFill="text2" w:themeFillTint="33"/>
            <w:tcMar>
              <w:top w:w="0" w:type="dxa"/>
              <w:left w:w="108" w:type="dxa"/>
              <w:bottom w:w="0" w:type="dxa"/>
              <w:right w:w="108" w:type="dxa"/>
            </w:tcMar>
            <w:hideMark/>
          </w:tcPr>
          <w:p w14:paraId="7235549A" w14:textId="77777777" w:rsidR="00945A32" w:rsidRPr="004128BC" w:rsidRDefault="00945A32" w:rsidP="00B5032F">
            <w:pPr>
              <w:jc w:val="both"/>
              <w:rPr>
                <w:color w:val="000000"/>
                <w:kern w:val="2"/>
                <w:sz w:val="20"/>
                <w:szCs w:val="20"/>
              </w:rPr>
            </w:pPr>
            <w:r w:rsidRPr="004128BC">
              <w:rPr>
                <w:color w:val="000000"/>
                <w:kern w:val="2"/>
                <w:sz w:val="20"/>
                <w:szCs w:val="20"/>
              </w:rPr>
              <w:t>Q23</w:t>
            </w:r>
          </w:p>
        </w:tc>
        <w:tc>
          <w:tcPr>
            <w:tcW w:w="2237" w:type="dxa"/>
            <w:shd w:val="clear" w:color="auto" w:fill="D5DCE4" w:themeFill="text2" w:themeFillTint="33"/>
            <w:tcMar>
              <w:top w:w="0" w:type="dxa"/>
              <w:left w:w="108" w:type="dxa"/>
              <w:bottom w:w="0" w:type="dxa"/>
              <w:right w:w="108" w:type="dxa"/>
            </w:tcMar>
            <w:hideMark/>
          </w:tcPr>
          <w:p w14:paraId="02FB94DB" w14:textId="77777777" w:rsidR="00945A32" w:rsidRPr="00D9013D" w:rsidRDefault="00945A32" w:rsidP="00B5032F">
            <w:pPr>
              <w:rPr>
                <w:kern w:val="2"/>
                <w:sz w:val="20"/>
                <w:szCs w:val="20"/>
              </w:rPr>
            </w:pPr>
            <w:r w:rsidRPr="00D9013D">
              <w:rPr>
                <w:kern w:val="2"/>
                <w:sz w:val="20"/>
                <w:szCs w:val="20"/>
              </w:rPr>
              <w:t xml:space="preserve">RFP </w:t>
            </w:r>
            <w:r w:rsidRPr="00984F4A">
              <w:rPr>
                <w:kern w:val="2"/>
                <w:sz w:val="20"/>
                <w:szCs w:val="20"/>
              </w:rPr>
              <w:t xml:space="preserve">Appendix 6 – </w:t>
            </w:r>
            <w:r w:rsidRPr="00D9013D">
              <w:rPr>
                <w:kern w:val="2"/>
                <w:sz w:val="20"/>
                <w:szCs w:val="20"/>
              </w:rPr>
              <w:t>Program Agreement - RFP ETD0052</w:t>
            </w:r>
          </w:p>
          <w:p w14:paraId="088A413F" w14:textId="77777777" w:rsidR="00945A32" w:rsidRPr="00984F4A" w:rsidRDefault="00945A32" w:rsidP="00B5032F">
            <w:pPr>
              <w:rPr>
                <w:kern w:val="2"/>
                <w:sz w:val="20"/>
                <w:szCs w:val="20"/>
              </w:rPr>
            </w:pPr>
            <w:r w:rsidRPr="00D9013D">
              <w:rPr>
                <w:kern w:val="2"/>
                <w:sz w:val="20"/>
                <w:szCs w:val="20"/>
              </w:rPr>
              <w:t xml:space="preserve">Health Savings Account Program </w:t>
            </w:r>
            <w:r w:rsidRPr="00984F4A">
              <w:rPr>
                <w:kern w:val="2"/>
                <w:sz w:val="20"/>
                <w:szCs w:val="20"/>
              </w:rPr>
              <w:t>Section 155G</w:t>
            </w:r>
            <w:r w:rsidRPr="00D9013D">
              <w:rPr>
                <w:kern w:val="2"/>
                <w:sz w:val="20"/>
                <w:szCs w:val="20"/>
              </w:rPr>
              <w:t>.</w:t>
            </w:r>
            <w:r w:rsidRPr="00984F4A">
              <w:rPr>
                <w:kern w:val="2"/>
                <w:sz w:val="20"/>
                <w:szCs w:val="20"/>
              </w:rPr>
              <w:t>4</w:t>
            </w:r>
            <w:r w:rsidRPr="00D9013D">
              <w:rPr>
                <w:kern w:val="2"/>
                <w:sz w:val="20"/>
                <w:szCs w:val="20"/>
              </w:rPr>
              <w:t xml:space="preserve"> Implementation Requirements</w:t>
            </w:r>
          </w:p>
        </w:tc>
        <w:tc>
          <w:tcPr>
            <w:tcW w:w="1111" w:type="dxa"/>
            <w:gridSpan w:val="2"/>
            <w:shd w:val="clear" w:color="auto" w:fill="D5DCE4" w:themeFill="text2" w:themeFillTint="33"/>
            <w:tcMar>
              <w:top w:w="0" w:type="dxa"/>
              <w:left w:w="108" w:type="dxa"/>
              <w:bottom w:w="0" w:type="dxa"/>
              <w:right w:w="108" w:type="dxa"/>
            </w:tcMar>
            <w:hideMark/>
          </w:tcPr>
          <w:p w14:paraId="3AF5BD65" w14:textId="77777777" w:rsidR="00945A32" w:rsidRPr="00984F4A" w:rsidRDefault="00945A32" w:rsidP="00B5032F">
            <w:pPr>
              <w:rPr>
                <w:kern w:val="2"/>
                <w:sz w:val="20"/>
                <w:szCs w:val="20"/>
              </w:rPr>
            </w:pPr>
            <w:r w:rsidRPr="00984F4A">
              <w:rPr>
                <w:kern w:val="2"/>
                <w:sz w:val="20"/>
                <w:szCs w:val="20"/>
              </w:rPr>
              <w:t>21</w:t>
            </w:r>
          </w:p>
        </w:tc>
        <w:tc>
          <w:tcPr>
            <w:tcW w:w="2688" w:type="dxa"/>
            <w:shd w:val="clear" w:color="auto" w:fill="D5DCE4" w:themeFill="text2" w:themeFillTint="33"/>
            <w:tcMar>
              <w:top w:w="0" w:type="dxa"/>
              <w:left w:w="108" w:type="dxa"/>
              <w:bottom w:w="0" w:type="dxa"/>
              <w:right w:w="108" w:type="dxa"/>
            </w:tcMar>
            <w:hideMark/>
          </w:tcPr>
          <w:p w14:paraId="006F9C4F" w14:textId="77777777" w:rsidR="00945A32" w:rsidRPr="00984F4A" w:rsidRDefault="00945A32" w:rsidP="00B5032F">
            <w:pPr>
              <w:rPr>
                <w:kern w:val="2"/>
                <w:sz w:val="20"/>
                <w:szCs w:val="20"/>
              </w:rPr>
            </w:pPr>
            <w:r w:rsidRPr="00984F4A">
              <w:rPr>
                <w:kern w:val="2"/>
                <w:sz w:val="20"/>
                <w:szCs w:val="20"/>
              </w:rPr>
              <w:t>Please explain what a Fraud and Abuse Review Plan is?</w:t>
            </w:r>
          </w:p>
        </w:tc>
        <w:tc>
          <w:tcPr>
            <w:tcW w:w="3251" w:type="dxa"/>
            <w:shd w:val="clear" w:color="auto" w:fill="D5DCE4" w:themeFill="text2" w:themeFillTint="33"/>
            <w:tcMar>
              <w:top w:w="0" w:type="dxa"/>
              <w:left w:w="108" w:type="dxa"/>
              <w:bottom w:w="0" w:type="dxa"/>
              <w:right w:w="108" w:type="dxa"/>
            </w:tcMar>
          </w:tcPr>
          <w:p w14:paraId="54CC37F9" w14:textId="77777777" w:rsidR="00945A32" w:rsidRPr="00984F4A" w:rsidRDefault="00945A32" w:rsidP="00B5032F">
            <w:pPr>
              <w:rPr>
                <w:kern w:val="2"/>
                <w:sz w:val="20"/>
                <w:szCs w:val="20"/>
              </w:rPr>
            </w:pPr>
            <w:r w:rsidRPr="00D9013D">
              <w:rPr>
                <w:kern w:val="2"/>
                <w:sz w:val="20"/>
                <w:szCs w:val="20"/>
              </w:rPr>
              <w:t xml:space="preserve">A </w:t>
            </w:r>
            <w:r w:rsidRPr="00E7660F">
              <w:rPr>
                <w:kern w:val="2"/>
                <w:sz w:val="20"/>
                <w:szCs w:val="20"/>
              </w:rPr>
              <w:t>Fraud and Abuse Review Plan</w:t>
            </w:r>
            <w:r w:rsidRPr="00D9013D">
              <w:rPr>
                <w:kern w:val="2"/>
                <w:sz w:val="20"/>
                <w:szCs w:val="20"/>
              </w:rPr>
              <w:t xml:space="preserve"> specifies how the Contractor investigates/prevents fraud and abuse by members utilizing a benefit account. The Contractor’s Fraud and Abuse Review Plan must outline how the Contractor </w:t>
            </w:r>
            <w:r w:rsidRPr="78CAC1CE">
              <w:rPr>
                <w:sz w:val="20"/>
                <w:szCs w:val="20"/>
              </w:rPr>
              <w:t>will: monitor benefit accounts for potential fraud</w:t>
            </w:r>
            <w:r>
              <w:rPr>
                <w:sz w:val="20"/>
                <w:szCs w:val="20"/>
              </w:rPr>
              <w:t xml:space="preserve"> (fraudulent enrollment or use of account or a non-authorized party’s use of account) and</w:t>
            </w:r>
            <w:r w:rsidRPr="78CAC1CE">
              <w:rPr>
                <w:sz w:val="20"/>
                <w:szCs w:val="20"/>
              </w:rPr>
              <w:t xml:space="preserve"> provide a copy of </w:t>
            </w:r>
            <w:r>
              <w:rPr>
                <w:sz w:val="20"/>
                <w:szCs w:val="20"/>
              </w:rPr>
              <w:t>the Contractor’s Fraud and Abuse Review Plan (</w:t>
            </w:r>
            <w:r w:rsidRPr="78CAC1CE">
              <w:rPr>
                <w:sz w:val="20"/>
                <w:szCs w:val="20"/>
              </w:rPr>
              <w:t>action plan</w:t>
            </w:r>
            <w:r>
              <w:rPr>
                <w:sz w:val="20"/>
                <w:szCs w:val="20"/>
              </w:rPr>
              <w:t>/procedure document) w</w:t>
            </w:r>
            <w:r w:rsidRPr="78CAC1CE">
              <w:rPr>
                <w:sz w:val="20"/>
                <w:szCs w:val="20"/>
              </w:rPr>
              <w:t xml:space="preserve">hen a potential fraud case is identified, </w:t>
            </w:r>
            <w:r>
              <w:rPr>
                <w:sz w:val="20"/>
                <w:szCs w:val="20"/>
              </w:rPr>
              <w:t xml:space="preserve">to include the notification flow and timing of notice to the </w:t>
            </w:r>
            <w:r w:rsidRPr="78CAC1CE">
              <w:rPr>
                <w:sz w:val="20"/>
                <w:szCs w:val="20"/>
              </w:rPr>
              <w:t>Department to determine a course of action</w:t>
            </w:r>
            <w:r>
              <w:rPr>
                <w:sz w:val="20"/>
                <w:szCs w:val="20"/>
              </w:rPr>
              <w:t xml:space="preserve">, debit card deactivation process, </w:t>
            </w:r>
            <w:r w:rsidRPr="78CAC1CE">
              <w:rPr>
                <w:sz w:val="20"/>
                <w:szCs w:val="20"/>
              </w:rPr>
              <w:t xml:space="preserve">and how the Contractor </w:t>
            </w:r>
            <w:r w:rsidRPr="00D9013D">
              <w:rPr>
                <w:kern w:val="2"/>
                <w:sz w:val="20"/>
                <w:szCs w:val="20"/>
              </w:rPr>
              <w:t xml:space="preserve">will notify the member of fraud or abuse and </w:t>
            </w:r>
            <w:r>
              <w:rPr>
                <w:kern w:val="2"/>
                <w:sz w:val="20"/>
                <w:szCs w:val="20"/>
              </w:rPr>
              <w:t xml:space="preserve">subsequent course of action. </w:t>
            </w:r>
            <w:r w:rsidRPr="00D9013D">
              <w:rPr>
                <w:kern w:val="2"/>
                <w:sz w:val="20"/>
                <w:szCs w:val="20"/>
              </w:rPr>
              <w:t xml:space="preserve"> </w:t>
            </w:r>
          </w:p>
        </w:tc>
      </w:tr>
      <w:tr w:rsidR="00B27F16" w:rsidRPr="004128BC" w14:paraId="30F03182" w14:textId="77777777" w:rsidTr="00B27F16">
        <w:tblPrEx>
          <w:tblCellMar>
            <w:left w:w="0" w:type="dxa"/>
            <w:right w:w="0" w:type="dxa"/>
          </w:tblCellMar>
        </w:tblPrEx>
        <w:trPr>
          <w:gridAfter w:val="1"/>
          <w:wAfter w:w="13" w:type="dxa"/>
        </w:trPr>
        <w:tc>
          <w:tcPr>
            <w:tcW w:w="733" w:type="dxa"/>
            <w:gridSpan w:val="2"/>
            <w:shd w:val="clear" w:color="auto" w:fill="E7E6E6" w:themeFill="background2"/>
            <w:tcMar>
              <w:top w:w="0" w:type="dxa"/>
              <w:left w:w="108" w:type="dxa"/>
              <w:bottom w:w="0" w:type="dxa"/>
              <w:right w:w="108" w:type="dxa"/>
            </w:tcMar>
            <w:hideMark/>
          </w:tcPr>
          <w:p w14:paraId="5157480C" w14:textId="77777777" w:rsidR="00945A32" w:rsidRPr="004128BC" w:rsidRDefault="00945A32" w:rsidP="00B5032F">
            <w:pPr>
              <w:jc w:val="both"/>
              <w:rPr>
                <w:color w:val="000000"/>
                <w:kern w:val="2"/>
                <w:sz w:val="20"/>
                <w:szCs w:val="20"/>
              </w:rPr>
            </w:pPr>
            <w:r w:rsidRPr="004128BC">
              <w:rPr>
                <w:color w:val="000000"/>
                <w:kern w:val="2"/>
                <w:sz w:val="20"/>
                <w:szCs w:val="20"/>
              </w:rPr>
              <w:t>Q24</w:t>
            </w:r>
          </w:p>
        </w:tc>
        <w:tc>
          <w:tcPr>
            <w:tcW w:w="2237" w:type="dxa"/>
            <w:shd w:val="clear" w:color="auto" w:fill="E7E6E6" w:themeFill="background2"/>
            <w:tcMar>
              <w:top w:w="0" w:type="dxa"/>
              <w:left w:w="108" w:type="dxa"/>
              <w:bottom w:w="0" w:type="dxa"/>
              <w:right w:w="108" w:type="dxa"/>
            </w:tcMar>
            <w:hideMark/>
          </w:tcPr>
          <w:p w14:paraId="1C73C390" w14:textId="77777777" w:rsidR="00945A32" w:rsidRPr="00D9013D" w:rsidRDefault="00945A32" w:rsidP="00B5032F">
            <w:pPr>
              <w:rPr>
                <w:kern w:val="2"/>
                <w:sz w:val="20"/>
                <w:szCs w:val="20"/>
              </w:rPr>
            </w:pPr>
            <w:r w:rsidRPr="00D9013D">
              <w:rPr>
                <w:kern w:val="2"/>
                <w:sz w:val="20"/>
                <w:szCs w:val="20"/>
              </w:rPr>
              <w:t xml:space="preserve">RFP </w:t>
            </w:r>
            <w:r w:rsidRPr="00984F4A">
              <w:rPr>
                <w:kern w:val="2"/>
                <w:sz w:val="20"/>
                <w:szCs w:val="20"/>
              </w:rPr>
              <w:t xml:space="preserve">Appendix 6 – </w:t>
            </w:r>
            <w:r w:rsidRPr="00D9013D">
              <w:rPr>
                <w:kern w:val="2"/>
                <w:sz w:val="20"/>
                <w:szCs w:val="20"/>
              </w:rPr>
              <w:t>Program Agreement - RFP ETD0052</w:t>
            </w:r>
          </w:p>
          <w:p w14:paraId="20221E91" w14:textId="77777777" w:rsidR="00945A32" w:rsidRPr="00984F4A" w:rsidRDefault="00945A32" w:rsidP="00B5032F">
            <w:pPr>
              <w:rPr>
                <w:kern w:val="2"/>
                <w:sz w:val="20"/>
                <w:szCs w:val="20"/>
              </w:rPr>
            </w:pPr>
            <w:r w:rsidRPr="00D9013D">
              <w:rPr>
                <w:kern w:val="2"/>
                <w:sz w:val="20"/>
                <w:szCs w:val="20"/>
              </w:rPr>
              <w:t xml:space="preserve">Health Savings Account Program </w:t>
            </w:r>
            <w:r w:rsidRPr="00984F4A">
              <w:rPr>
                <w:kern w:val="2"/>
                <w:sz w:val="20"/>
                <w:szCs w:val="20"/>
              </w:rPr>
              <w:t>Section 180</w:t>
            </w:r>
          </w:p>
        </w:tc>
        <w:tc>
          <w:tcPr>
            <w:tcW w:w="1111" w:type="dxa"/>
            <w:gridSpan w:val="2"/>
            <w:shd w:val="clear" w:color="auto" w:fill="E7E6E6" w:themeFill="background2"/>
            <w:tcMar>
              <w:top w:w="0" w:type="dxa"/>
              <w:left w:w="108" w:type="dxa"/>
              <w:bottom w:w="0" w:type="dxa"/>
              <w:right w:w="108" w:type="dxa"/>
            </w:tcMar>
            <w:hideMark/>
          </w:tcPr>
          <w:p w14:paraId="57FB5D71" w14:textId="77777777" w:rsidR="00945A32" w:rsidRPr="00984F4A" w:rsidRDefault="00945A32" w:rsidP="00B5032F">
            <w:pPr>
              <w:rPr>
                <w:kern w:val="2"/>
                <w:sz w:val="20"/>
                <w:szCs w:val="20"/>
              </w:rPr>
            </w:pPr>
            <w:r w:rsidRPr="00984F4A">
              <w:rPr>
                <w:kern w:val="2"/>
                <w:sz w:val="20"/>
                <w:szCs w:val="20"/>
              </w:rPr>
              <w:t>21</w:t>
            </w:r>
          </w:p>
        </w:tc>
        <w:tc>
          <w:tcPr>
            <w:tcW w:w="2688" w:type="dxa"/>
            <w:shd w:val="clear" w:color="auto" w:fill="E7E6E6" w:themeFill="background2"/>
            <w:tcMar>
              <w:top w:w="0" w:type="dxa"/>
              <w:left w:w="108" w:type="dxa"/>
              <w:bottom w:w="0" w:type="dxa"/>
              <w:right w:w="108" w:type="dxa"/>
            </w:tcMar>
            <w:hideMark/>
          </w:tcPr>
          <w:p w14:paraId="613C9DCD" w14:textId="77777777" w:rsidR="00945A32" w:rsidRPr="00984F4A" w:rsidRDefault="00945A32" w:rsidP="00B5032F">
            <w:pPr>
              <w:rPr>
                <w:kern w:val="2"/>
                <w:sz w:val="20"/>
                <w:szCs w:val="20"/>
              </w:rPr>
            </w:pPr>
            <w:r w:rsidRPr="00984F4A">
              <w:rPr>
                <w:kern w:val="2"/>
                <w:sz w:val="20"/>
                <w:szCs w:val="20"/>
              </w:rPr>
              <w:t>Please elaborate on your custom reporting requirements.</w:t>
            </w:r>
          </w:p>
        </w:tc>
        <w:tc>
          <w:tcPr>
            <w:tcW w:w="3251" w:type="dxa"/>
            <w:shd w:val="clear" w:color="auto" w:fill="E7E6E6" w:themeFill="background2"/>
            <w:tcMar>
              <w:top w:w="0" w:type="dxa"/>
              <w:left w:w="108" w:type="dxa"/>
              <w:bottom w:w="0" w:type="dxa"/>
              <w:right w:w="108" w:type="dxa"/>
            </w:tcMar>
          </w:tcPr>
          <w:p w14:paraId="6D7EB4EF" w14:textId="77777777" w:rsidR="00945A32" w:rsidRPr="00984F4A" w:rsidRDefault="00945A32" w:rsidP="00B5032F">
            <w:pPr>
              <w:rPr>
                <w:kern w:val="2"/>
                <w:sz w:val="20"/>
                <w:szCs w:val="20"/>
              </w:rPr>
            </w:pPr>
            <w:r w:rsidRPr="00D9013D">
              <w:rPr>
                <w:kern w:val="2"/>
                <w:sz w:val="20"/>
                <w:szCs w:val="20"/>
              </w:rPr>
              <w:t>Reporting requirements are specified in the Program Agreements. Any additional custom reporting fields that are needed will be requested by the Department at least 45 days in advance</w:t>
            </w:r>
            <w:r>
              <w:rPr>
                <w:kern w:val="2"/>
                <w:sz w:val="20"/>
                <w:szCs w:val="20"/>
              </w:rPr>
              <w:t xml:space="preserve"> of the required implementation date. </w:t>
            </w:r>
            <w:r w:rsidRPr="00D9013D">
              <w:rPr>
                <w:kern w:val="2"/>
                <w:sz w:val="20"/>
                <w:szCs w:val="20"/>
              </w:rPr>
              <w:t xml:space="preserve"> </w:t>
            </w:r>
            <w:r>
              <w:rPr>
                <w:kern w:val="2"/>
                <w:sz w:val="20"/>
                <w:szCs w:val="20"/>
              </w:rPr>
              <w:t xml:space="preserve">The requirement for ad hoc reporting is stated in Appendix 6 Section 180.10. </w:t>
            </w:r>
            <w:r w:rsidRPr="00D9013D">
              <w:rPr>
                <w:kern w:val="2"/>
                <w:sz w:val="20"/>
                <w:szCs w:val="20"/>
              </w:rPr>
              <w:t xml:space="preserve"> </w:t>
            </w:r>
          </w:p>
        </w:tc>
      </w:tr>
      <w:tr w:rsidR="00B27F16" w:rsidRPr="004128BC" w14:paraId="58A0F098" w14:textId="77777777" w:rsidTr="00B27F16">
        <w:tblPrEx>
          <w:tblCellMar>
            <w:left w:w="0" w:type="dxa"/>
            <w:right w:w="0" w:type="dxa"/>
          </w:tblCellMar>
        </w:tblPrEx>
        <w:trPr>
          <w:gridAfter w:val="1"/>
          <w:wAfter w:w="13" w:type="dxa"/>
        </w:trPr>
        <w:tc>
          <w:tcPr>
            <w:tcW w:w="733" w:type="dxa"/>
            <w:gridSpan w:val="2"/>
            <w:shd w:val="clear" w:color="auto" w:fill="D5DCE4" w:themeFill="text2" w:themeFillTint="33"/>
            <w:tcMar>
              <w:top w:w="0" w:type="dxa"/>
              <w:left w:w="108" w:type="dxa"/>
              <w:bottom w:w="0" w:type="dxa"/>
              <w:right w:w="108" w:type="dxa"/>
            </w:tcMar>
            <w:hideMark/>
          </w:tcPr>
          <w:p w14:paraId="09A8054C" w14:textId="77777777" w:rsidR="00945A32" w:rsidRPr="004128BC" w:rsidRDefault="00945A32" w:rsidP="00B5032F">
            <w:pPr>
              <w:jc w:val="both"/>
              <w:rPr>
                <w:color w:val="000000"/>
                <w:kern w:val="2"/>
                <w:sz w:val="20"/>
                <w:szCs w:val="20"/>
              </w:rPr>
            </w:pPr>
            <w:r w:rsidRPr="004128BC">
              <w:rPr>
                <w:color w:val="000000"/>
                <w:kern w:val="2"/>
                <w:sz w:val="20"/>
                <w:szCs w:val="20"/>
              </w:rPr>
              <w:lastRenderedPageBreak/>
              <w:t>Q25</w:t>
            </w:r>
          </w:p>
        </w:tc>
        <w:tc>
          <w:tcPr>
            <w:tcW w:w="2237" w:type="dxa"/>
            <w:shd w:val="clear" w:color="auto" w:fill="D5DCE4" w:themeFill="text2" w:themeFillTint="33"/>
            <w:tcMar>
              <w:top w:w="0" w:type="dxa"/>
              <w:left w:w="108" w:type="dxa"/>
              <w:bottom w:w="0" w:type="dxa"/>
              <w:right w:w="108" w:type="dxa"/>
            </w:tcMar>
            <w:hideMark/>
          </w:tcPr>
          <w:p w14:paraId="0DDFE983" w14:textId="77777777" w:rsidR="00945A32" w:rsidRPr="00D9013D" w:rsidRDefault="00945A32" w:rsidP="00B5032F">
            <w:pPr>
              <w:rPr>
                <w:kern w:val="2"/>
                <w:sz w:val="20"/>
                <w:szCs w:val="20"/>
              </w:rPr>
            </w:pPr>
            <w:r w:rsidRPr="00D9013D">
              <w:rPr>
                <w:kern w:val="2"/>
                <w:sz w:val="20"/>
                <w:szCs w:val="20"/>
              </w:rPr>
              <w:t xml:space="preserve">RFP </w:t>
            </w:r>
            <w:r w:rsidRPr="00984F4A">
              <w:rPr>
                <w:kern w:val="2"/>
                <w:sz w:val="20"/>
                <w:szCs w:val="20"/>
              </w:rPr>
              <w:t xml:space="preserve">Appendix 6 – </w:t>
            </w:r>
            <w:r w:rsidRPr="00D9013D">
              <w:rPr>
                <w:kern w:val="2"/>
                <w:sz w:val="20"/>
                <w:szCs w:val="20"/>
              </w:rPr>
              <w:t>Program Agreement - RFP ETD0052</w:t>
            </w:r>
          </w:p>
          <w:p w14:paraId="620E0335" w14:textId="77777777" w:rsidR="00945A32" w:rsidRPr="00984F4A" w:rsidRDefault="00945A32" w:rsidP="00B5032F">
            <w:pPr>
              <w:rPr>
                <w:kern w:val="2"/>
                <w:sz w:val="20"/>
                <w:szCs w:val="20"/>
              </w:rPr>
            </w:pPr>
            <w:r w:rsidRPr="00D9013D">
              <w:rPr>
                <w:kern w:val="2"/>
                <w:sz w:val="20"/>
                <w:szCs w:val="20"/>
              </w:rPr>
              <w:t xml:space="preserve">Health Savings Account Program </w:t>
            </w:r>
            <w:r w:rsidRPr="00984F4A">
              <w:rPr>
                <w:kern w:val="2"/>
                <w:sz w:val="20"/>
                <w:szCs w:val="20"/>
              </w:rPr>
              <w:t>Section 205B</w:t>
            </w:r>
            <w:r w:rsidRPr="00D9013D">
              <w:rPr>
                <w:kern w:val="2"/>
                <w:sz w:val="20"/>
                <w:szCs w:val="20"/>
              </w:rPr>
              <w:t>.</w:t>
            </w:r>
            <w:r w:rsidRPr="00984F4A">
              <w:rPr>
                <w:kern w:val="2"/>
                <w:sz w:val="20"/>
                <w:szCs w:val="20"/>
              </w:rPr>
              <w:t xml:space="preserve">1 </w:t>
            </w:r>
          </w:p>
        </w:tc>
        <w:tc>
          <w:tcPr>
            <w:tcW w:w="1111" w:type="dxa"/>
            <w:gridSpan w:val="2"/>
            <w:shd w:val="clear" w:color="auto" w:fill="D5DCE4" w:themeFill="text2" w:themeFillTint="33"/>
            <w:tcMar>
              <w:top w:w="0" w:type="dxa"/>
              <w:left w:w="108" w:type="dxa"/>
              <w:bottom w:w="0" w:type="dxa"/>
              <w:right w:w="108" w:type="dxa"/>
            </w:tcMar>
            <w:hideMark/>
          </w:tcPr>
          <w:p w14:paraId="4E9DE012" w14:textId="77777777" w:rsidR="00945A32" w:rsidRPr="00984F4A" w:rsidRDefault="00945A32" w:rsidP="00B5032F">
            <w:pPr>
              <w:rPr>
                <w:kern w:val="2"/>
                <w:sz w:val="20"/>
                <w:szCs w:val="20"/>
              </w:rPr>
            </w:pPr>
            <w:r w:rsidRPr="00984F4A">
              <w:rPr>
                <w:kern w:val="2"/>
                <w:sz w:val="20"/>
                <w:szCs w:val="20"/>
              </w:rPr>
              <w:t>21</w:t>
            </w:r>
          </w:p>
        </w:tc>
        <w:tc>
          <w:tcPr>
            <w:tcW w:w="2688" w:type="dxa"/>
            <w:shd w:val="clear" w:color="auto" w:fill="D5DCE4" w:themeFill="text2" w:themeFillTint="33"/>
            <w:tcMar>
              <w:top w:w="0" w:type="dxa"/>
              <w:left w:w="108" w:type="dxa"/>
              <w:bottom w:w="0" w:type="dxa"/>
              <w:right w:w="108" w:type="dxa"/>
            </w:tcMar>
            <w:hideMark/>
          </w:tcPr>
          <w:p w14:paraId="19A9E7E3" w14:textId="77777777" w:rsidR="00945A32" w:rsidRPr="00984F4A" w:rsidRDefault="00945A32" w:rsidP="00B5032F">
            <w:pPr>
              <w:rPr>
                <w:kern w:val="2"/>
                <w:sz w:val="20"/>
                <w:szCs w:val="20"/>
              </w:rPr>
            </w:pPr>
            <w:r w:rsidRPr="00984F4A">
              <w:rPr>
                <w:kern w:val="2"/>
                <w:sz w:val="20"/>
                <w:szCs w:val="20"/>
              </w:rPr>
              <w:t>Do the separate payroll centers have separate banking arrangements for funding or do they all flow from one centralized bank?</w:t>
            </w:r>
          </w:p>
        </w:tc>
        <w:tc>
          <w:tcPr>
            <w:tcW w:w="3251" w:type="dxa"/>
            <w:shd w:val="clear" w:color="auto" w:fill="D5DCE4" w:themeFill="text2" w:themeFillTint="33"/>
            <w:tcMar>
              <w:top w:w="0" w:type="dxa"/>
              <w:left w:w="108" w:type="dxa"/>
              <w:bottom w:w="0" w:type="dxa"/>
              <w:right w:w="108" w:type="dxa"/>
            </w:tcMar>
          </w:tcPr>
          <w:p w14:paraId="26319EAC" w14:textId="77777777" w:rsidR="00945A32" w:rsidRPr="00984F4A" w:rsidRDefault="00945A32" w:rsidP="00B5032F">
            <w:pPr>
              <w:rPr>
                <w:kern w:val="2"/>
                <w:sz w:val="20"/>
                <w:szCs w:val="20"/>
              </w:rPr>
            </w:pPr>
            <w:r>
              <w:rPr>
                <w:kern w:val="2"/>
                <w:sz w:val="20"/>
                <w:szCs w:val="20"/>
              </w:rPr>
              <w:t xml:space="preserve">Payroll Centers have separate banking arrangements for </w:t>
            </w:r>
            <w:r w:rsidRPr="00D9013D">
              <w:rPr>
                <w:kern w:val="2"/>
                <w:sz w:val="20"/>
                <w:szCs w:val="20"/>
              </w:rPr>
              <w:t xml:space="preserve">HSA </w:t>
            </w:r>
            <w:r>
              <w:rPr>
                <w:kern w:val="2"/>
                <w:sz w:val="20"/>
                <w:szCs w:val="20"/>
              </w:rPr>
              <w:t xml:space="preserve">funding. </w:t>
            </w:r>
          </w:p>
        </w:tc>
      </w:tr>
      <w:tr w:rsidR="00B27F16" w:rsidRPr="004128BC" w14:paraId="51347279" w14:textId="77777777" w:rsidTr="00B27F16">
        <w:tblPrEx>
          <w:tblCellMar>
            <w:left w:w="0" w:type="dxa"/>
            <w:right w:w="0" w:type="dxa"/>
          </w:tblCellMar>
        </w:tblPrEx>
        <w:trPr>
          <w:gridAfter w:val="1"/>
          <w:wAfter w:w="13" w:type="dxa"/>
        </w:trPr>
        <w:tc>
          <w:tcPr>
            <w:tcW w:w="733" w:type="dxa"/>
            <w:gridSpan w:val="2"/>
            <w:shd w:val="clear" w:color="auto" w:fill="E7E6E6" w:themeFill="background2"/>
            <w:tcMar>
              <w:top w:w="0" w:type="dxa"/>
              <w:left w:w="108" w:type="dxa"/>
              <w:bottom w:w="0" w:type="dxa"/>
              <w:right w:w="108" w:type="dxa"/>
            </w:tcMar>
            <w:hideMark/>
          </w:tcPr>
          <w:p w14:paraId="313AD554" w14:textId="77777777" w:rsidR="00945A32" w:rsidRPr="004128BC" w:rsidRDefault="00945A32" w:rsidP="00B5032F">
            <w:pPr>
              <w:jc w:val="both"/>
              <w:rPr>
                <w:color w:val="000000"/>
                <w:kern w:val="2"/>
                <w:sz w:val="20"/>
                <w:szCs w:val="20"/>
              </w:rPr>
            </w:pPr>
            <w:r w:rsidRPr="004128BC">
              <w:rPr>
                <w:color w:val="000000"/>
                <w:kern w:val="2"/>
                <w:sz w:val="20"/>
                <w:szCs w:val="20"/>
              </w:rPr>
              <w:t>Q26</w:t>
            </w:r>
          </w:p>
        </w:tc>
        <w:tc>
          <w:tcPr>
            <w:tcW w:w="2237" w:type="dxa"/>
            <w:shd w:val="clear" w:color="auto" w:fill="E7E6E6" w:themeFill="background2"/>
            <w:tcMar>
              <w:top w:w="0" w:type="dxa"/>
              <w:left w:w="108" w:type="dxa"/>
              <w:bottom w:w="0" w:type="dxa"/>
              <w:right w:w="108" w:type="dxa"/>
            </w:tcMar>
          </w:tcPr>
          <w:p w14:paraId="3916D6C0" w14:textId="77777777" w:rsidR="00945A32" w:rsidRPr="00984F4A" w:rsidRDefault="00945A32" w:rsidP="00B5032F">
            <w:pPr>
              <w:rPr>
                <w:kern w:val="2"/>
                <w:sz w:val="20"/>
                <w:szCs w:val="20"/>
              </w:rPr>
            </w:pPr>
          </w:p>
        </w:tc>
        <w:tc>
          <w:tcPr>
            <w:tcW w:w="1111" w:type="dxa"/>
            <w:gridSpan w:val="2"/>
            <w:shd w:val="clear" w:color="auto" w:fill="E7E6E6" w:themeFill="background2"/>
            <w:tcMar>
              <w:top w:w="0" w:type="dxa"/>
              <w:left w:w="108" w:type="dxa"/>
              <w:bottom w:w="0" w:type="dxa"/>
              <w:right w:w="108" w:type="dxa"/>
            </w:tcMar>
          </w:tcPr>
          <w:p w14:paraId="3C39586B" w14:textId="77777777" w:rsidR="00945A32" w:rsidRPr="00984F4A" w:rsidRDefault="00945A32" w:rsidP="00B5032F">
            <w:pPr>
              <w:rPr>
                <w:kern w:val="2"/>
                <w:sz w:val="20"/>
                <w:szCs w:val="20"/>
              </w:rPr>
            </w:pPr>
          </w:p>
        </w:tc>
        <w:tc>
          <w:tcPr>
            <w:tcW w:w="2688" w:type="dxa"/>
            <w:shd w:val="clear" w:color="auto" w:fill="E7E6E6" w:themeFill="background2"/>
            <w:tcMar>
              <w:top w:w="0" w:type="dxa"/>
              <w:left w:w="108" w:type="dxa"/>
              <w:bottom w:w="0" w:type="dxa"/>
              <w:right w:w="108" w:type="dxa"/>
            </w:tcMar>
            <w:hideMark/>
          </w:tcPr>
          <w:p w14:paraId="7F01E473" w14:textId="77777777" w:rsidR="00945A32" w:rsidRPr="00984F4A" w:rsidRDefault="00945A32" w:rsidP="00B5032F">
            <w:pPr>
              <w:rPr>
                <w:kern w:val="2"/>
                <w:sz w:val="20"/>
                <w:szCs w:val="20"/>
              </w:rPr>
            </w:pPr>
            <w:r w:rsidRPr="00984F4A">
              <w:rPr>
                <w:kern w:val="2"/>
                <w:sz w:val="20"/>
                <w:szCs w:val="20"/>
              </w:rPr>
              <w:t>Are you able to provide your current pricing for these services?</w:t>
            </w:r>
          </w:p>
        </w:tc>
        <w:tc>
          <w:tcPr>
            <w:tcW w:w="3251" w:type="dxa"/>
            <w:shd w:val="clear" w:color="auto" w:fill="E7E6E6" w:themeFill="background2"/>
            <w:tcMar>
              <w:top w:w="0" w:type="dxa"/>
              <w:left w:w="108" w:type="dxa"/>
              <w:bottom w:w="0" w:type="dxa"/>
              <w:right w:w="108" w:type="dxa"/>
            </w:tcMar>
          </w:tcPr>
          <w:p w14:paraId="06A5F8FB" w14:textId="77777777" w:rsidR="00945A32" w:rsidRPr="00D9013D" w:rsidRDefault="00945A32" w:rsidP="00B5032F">
            <w:pPr>
              <w:rPr>
                <w:kern w:val="2"/>
                <w:sz w:val="20"/>
                <w:szCs w:val="20"/>
              </w:rPr>
            </w:pPr>
            <w:r w:rsidRPr="00D9013D">
              <w:rPr>
                <w:kern w:val="2"/>
                <w:sz w:val="20"/>
                <w:szCs w:val="20"/>
              </w:rPr>
              <w:t>Administrative fees are based on a per-participant-per-benefit-per-month (PPPBPM) fee. The current pricing for services is as follows.</w:t>
            </w:r>
          </w:p>
          <w:p w14:paraId="284D698F" w14:textId="77777777" w:rsidR="00945A32" w:rsidRPr="00D9013D" w:rsidRDefault="00945A32" w:rsidP="00945A32">
            <w:pPr>
              <w:pStyle w:val="ListParagraph"/>
              <w:numPr>
                <w:ilvl w:val="0"/>
                <w:numId w:val="30"/>
              </w:numPr>
              <w:spacing w:before="0" w:after="0"/>
              <w:ind w:left="247" w:hanging="180"/>
              <w:contextualSpacing w:val="0"/>
              <w:rPr>
                <w:rFonts w:ascii="Arial" w:hAnsi="Arial" w:cs="Arial"/>
                <w:kern w:val="2"/>
                <w:sz w:val="20"/>
                <w:szCs w:val="20"/>
              </w:rPr>
            </w:pPr>
            <w:r w:rsidRPr="00D9013D">
              <w:rPr>
                <w:rFonts w:ascii="Arial" w:hAnsi="Arial" w:cs="Arial"/>
                <w:kern w:val="2"/>
                <w:sz w:val="20"/>
                <w:szCs w:val="20"/>
              </w:rPr>
              <w:t>HSA: $1.22</w:t>
            </w:r>
          </w:p>
          <w:p w14:paraId="3CD76B84" w14:textId="77777777" w:rsidR="00945A32" w:rsidRPr="00D9013D" w:rsidRDefault="00945A32" w:rsidP="00945A32">
            <w:pPr>
              <w:pStyle w:val="ListParagraph"/>
              <w:numPr>
                <w:ilvl w:val="0"/>
                <w:numId w:val="30"/>
              </w:numPr>
              <w:spacing w:before="0" w:after="0"/>
              <w:ind w:left="247" w:hanging="180"/>
              <w:contextualSpacing w:val="0"/>
              <w:rPr>
                <w:rFonts w:ascii="Arial" w:hAnsi="Arial" w:cs="Arial"/>
                <w:kern w:val="2"/>
                <w:sz w:val="20"/>
                <w:szCs w:val="20"/>
              </w:rPr>
            </w:pPr>
            <w:r w:rsidRPr="00D9013D">
              <w:rPr>
                <w:rFonts w:ascii="Arial" w:hAnsi="Arial" w:cs="Arial"/>
                <w:kern w:val="2"/>
                <w:sz w:val="20"/>
                <w:szCs w:val="20"/>
              </w:rPr>
              <w:t>Health Care LFSA: $1.47</w:t>
            </w:r>
          </w:p>
          <w:p w14:paraId="2F447541" w14:textId="77777777" w:rsidR="00945A32" w:rsidRPr="00D9013D" w:rsidRDefault="00945A32" w:rsidP="00945A32">
            <w:pPr>
              <w:pStyle w:val="ListParagraph"/>
              <w:numPr>
                <w:ilvl w:val="0"/>
                <w:numId w:val="30"/>
              </w:numPr>
              <w:spacing w:before="0" w:after="0"/>
              <w:ind w:left="247" w:hanging="180"/>
              <w:contextualSpacing w:val="0"/>
              <w:rPr>
                <w:rFonts w:ascii="Arial" w:hAnsi="Arial" w:cs="Arial"/>
                <w:kern w:val="2"/>
                <w:sz w:val="20"/>
                <w:szCs w:val="20"/>
              </w:rPr>
            </w:pPr>
            <w:r w:rsidRPr="00D9013D">
              <w:rPr>
                <w:rFonts w:ascii="Arial" w:hAnsi="Arial" w:cs="Arial"/>
                <w:kern w:val="2"/>
                <w:sz w:val="20"/>
                <w:szCs w:val="20"/>
              </w:rPr>
              <w:t>Limited Purpose FSA: $0.80</w:t>
            </w:r>
          </w:p>
          <w:p w14:paraId="70531155" w14:textId="77777777" w:rsidR="00945A32" w:rsidRPr="00D9013D" w:rsidRDefault="00945A32" w:rsidP="00945A32">
            <w:pPr>
              <w:pStyle w:val="ListParagraph"/>
              <w:numPr>
                <w:ilvl w:val="0"/>
                <w:numId w:val="30"/>
              </w:numPr>
              <w:spacing w:before="0" w:after="0"/>
              <w:ind w:left="247" w:hanging="180"/>
              <w:contextualSpacing w:val="0"/>
              <w:rPr>
                <w:rFonts w:ascii="Arial" w:hAnsi="Arial" w:cs="Arial"/>
                <w:kern w:val="2"/>
                <w:sz w:val="20"/>
                <w:szCs w:val="20"/>
              </w:rPr>
            </w:pPr>
            <w:r w:rsidRPr="00D9013D">
              <w:rPr>
                <w:rFonts w:ascii="Arial" w:hAnsi="Arial" w:cs="Arial"/>
                <w:kern w:val="2"/>
                <w:sz w:val="20"/>
                <w:szCs w:val="20"/>
              </w:rPr>
              <w:t>Dependent Day Care Account: $1.24</w:t>
            </w:r>
          </w:p>
          <w:p w14:paraId="3DCCD819" w14:textId="77777777" w:rsidR="00945A32" w:rsidRPr="00D9013D" w:rsidRDefault="00945A32" w:rsidP="00945A32">
            <w:pPr>
              <w:pStyle w:val="ListParagraph"/>
              <w:numPr>
                <w:ilvl w:val="0"/>
                <w:numId w:val="30"/>
              </w:numPr>
              <w:spacing w:before="0" w:after="0"/>
              <w:ind w:left="247" w:hanging="180"/>
              <w:contextualSpacing w:val="0"/>
              <w:rPr>
                <w:rFonts w:ascii="Arial" w:hAnsi="Arial" w:cs="Arial"/>
                <w:kern w:val="2"/>
                <w:sz w:val="20"/>
                <w:szCs w:val="20"/>
              </w:rPr>
            </w:pPr>
            <w:r w:rsidRPr="00D9013D">
              <w:rPr>
                <w:rFonts w:ascii="Arial" w:hAnsi="Arial" w:cs="Arial"/>
                <w:kern w:val="2"/>
                <w:sz w:val="20"/>
                <w:szCs w:val="20"/>
              </w:rPr>
              <w:t>Parking Account: $2.23</w:t>
            </w:r>
          </w:p>
          <w:p w14:paraId="768B1869" w14:textId="77777777" w:rsidR="00945A32" w:rsidRPr="00984F4A" w:rsidRDefault="00945A32" w:rsidP="00945A32">
            <w:pPr>
              <w:pStyle w:val="ListParagraph"/>
              <w:numPr>
                <w:ilvl w:val="0"/>
                <w:numId w:val="30"/>
              </w:numPr>
              <w:spacing w:before="0" w:after="0"/>
              <w:ind w:left="247" w:hanging="180"/>
              <w:contextualSpacing w:val="0"/>
              <w:rPr>
                <w:rFonts w:ascii="Arial" w:hAnsi="Arial" w:cs="Arial"/>
                <w:kern w:val="2"/>
                <w:sz w:val="20"/>
                <w:szCs w:val="20"/>
              </w:rPr>
            </w:pPr>
            <w:r w:rsidRPr="00D9013D">
              <w:rPr>
                <w:rFonts w:ascii="Arial" w:hAnsi="Arial" w:cs="Arial"/>
                <w:kern w:val="2"/>
                <w:sz w:val="20"/>
                <w:szCs w:val="20"/>
              </w:rPr>
              <w:t>Transit Account: $2.23</w:t>
            </w:r>
          </w:p>
        </w:tc>
      </w:tr>
      <w:tr w:rsidR="00B27F16" w:rsidRPr="004128BC" w14:paraId="227D8DE5" w14:textId="77777777" w:rsidTr="00B27F16">
        <w:tblPrEx>
          <w:tblCellMar>
            <w:left w:w="0" w:type="dxa"/>
            <w:right w:w="0" w:type="dxa"/>
          </w:tblCellMar>
        </w:tblPrEx>
        <w:trPr>
          <w:gridAfter w:val="1"/>
          <w:wAfter w:w="13" w:type="dxa"/>
          <w:trHeight w:val="630"/>
        </w:trPr>
        <w:tc>
          <w:tcPr>
            <w:tcW w:w="733" w:type="dxa"/>
            <w:gridSpan w:val="2"/>
            <w:shd w:val="clear" w:color="auto" w:fill="D5DCE4" w:themeFill="text2" w:themeFillTint="33"/>
            <w:tcMar>
              <w:top w:w="0" w:type="dxa"/>
              <w:left w:w="108" w:type="dxa"/>
              <w:bottom w:w="0" w:type="dxa"/>
              <w:right w:w="108" w:type="dxa"/>
            </w:tcMar>
            <w:hideMark/>
          </w:tcPr>
          <w:p w14:paraId="64186F63" w14:textId="77777777" w:rsidR="00945A32" w:rsidRPr="004128BC" w:rsidRDefault="00945A32" w:rsidP="00B5032F">
            <w:pPr>
              <w:jc w:val="both"/>
              <w:rPr>
                <w:color w:val="000000"/>
                <w:kern w:val="2"/>
                <w:sz w:val="20"/>
                <w:szCs w:val="20"/>
              </w:rPr>
            </w:pPr>
            <w:r w:rsidRPr="004128BC">
              <w:rPr>
                <w:color w:val="000000"/>
                <w:kern w:val="2"/>
                <w:sz w:val="20"/>
                <w:szCs w:val="20"/>
              </w:rPr>
              <w:t>Q27</w:t>
            </w:r>
          </w:p>
        </w:tc>
        <w:tc>
          <w:tcPr>
            <w:tcW w:w="2237" w:type="dxa"/>
            <w:shd w:val="clear" w:color="auto" w:fill="D5DCE4" w:themeFill="text2" w:themeFillTint="33"/>
            <w:tcMar>
              <w:top w:w="0" w:type="dxa"/>
              <w:left w:w="108" w:type="dxa"/>
              <w:bottom w:w="0" w:type="dxa"/>
              <w:right w:w="108" w:type="dxa"/>
            </w:tcMar>
          </w:tcPr>
          <w:p w14:paraId="1876043B" w14:textId="77777777" w:rsidR="00945A32" w:rsidRPr="00984F4A" w:rsidRDefault="00945A32" w:rsidP="00B5032F">
            <w:pPr>
              <w:rPr>
                <w:kern w:val="2"/>
                <w:sz w:val="20"/>
                <w:szCs w:val="20"/>
              </w:rPr>
            </w:pPr>
          </w:p>
        </w:tc>
        <w:tc>
          <w:tcPr>
            <w:tcW w:w="1111" w:type="dxa"/>
            <w:gridSpan w:val="2"/>
            <w:shd w:val="clear" w:color="auto" w:fill="D5DCE4" w:themeFill="text2" w:themeFillTint="33"/>
            <w:tcMar>
              <w:top w:w="0" w:type="dxa"/>
              <w:left w:w="108" w:type="dxa"/>
              <w:bottom w:w="0" w:type="dxa"/>
              <w:right w:w="108" w:type="dxa"/>
            </w:tcMar>
          </w:tcPr>
          <w:p w14:paraId="028D080E" w14:textId="77777777" w:rsidR="00945A32" w:rsidRPr="00984F4A" w:rsidRDefault="00945A32" w:rsidP="00B5032F">
            <w:pPr>
              <w:rPr>
                <w:kern w:val="2"/>
                <w:sz w:val="20"/>
                <w:szCs w:val="20"/>
              </w:rPr>
            </w:pPr>
          </w:p>
        </w:tc>
        <w:tc>
          <w:tcPr>
            <w:tcW w:w="2688" w:type="dxa"/>
            <w:shd w:val="clear" w:color="auto" w:fill="D5DCE4" w:themeFill="text2" w:themeFillTint="33"/>
            <w:tcMar>
              <w:top w:w="0" w:type="dxa"/>
              <w:left w:w="108" w:type="dxa"/>
              <w:bottom w:w="0" w:type="dxa"/>
              <w:right w:w="108" w:type="dxa"/>
            </w:tcMar>
          </w:tcPr>
          <w:p w14:paraId="777AB289" w14:textId="77777777" w:rsidR="00945A32" w:rsidRPr="00984F4A" w:rsidRDefault="00945A32" w:rsidP="00B5032F">
            <w:pPr>
              <w:rPr>
                <w:kern w:val="2"/>
                <w:sz w:val="20"/>
                <w:szCs w:val="20"/>
              </w:rPr>
            </w:pPr>
            <w:r w:rsidRPr="00984F4A">
              <w:rPr>
                <w:color w:val="000000"/>
                <w:kern w:val="2"/>
                <w:sz w:val="20"/>
                <w:szCs w:val="20"/>
              </w:rPr>
              <w:t>Are there any other pain points/drivers for this change?</w:t>
            </w:r>
          </w:p>
        </w:tc>
        <w:tc>
          <w:tcPr>
            <w:tcW w:w="3251" w:type="dxa"/>
            <w:shd w:val="clear" w:color="auto" w:fill="D5DCE4" w:themeFill="text2" w:themeFillTint="33"/>
            <w:tcMar>
              <w:top w:w="0" w:type="dxa"/>
              <w:left w:w="108" w:type="dxa"/>
              <w:bottom w:w="0" w:type="dxa"/>
              <w:right w:w="108" w:type="dxa"/>
            </w:tcMar>
          </w:tcPr>
          <w:p w14:paraId="39202D7B" w14:textId="77777777" w:rsidR="00945A32" w:rsidRPr="00984F4A" w:rsidRDefault="00945A32" w:rsidP="00B5032F">
            <w:pPr>
              <w:rPr>
                <w:kern w:val="2"/>
                <w:sz w:val="20"/>
                <w:szCs w:val="20"/>
              </w:rPr>
            </w:pPr>
            <w:r w:rsidRPr="00D9013D">
              <w:rPr>
                <w:kern w:val="2"/>
                <w:sz w:val="20"/>
                <w:szCs w:val="20"/>
              </w:rPr>
              <w:t xml:space="preserve">The Department is unclear as to what the question refers to.   </w:t>
            </w:r>
          </w:p>
        </w:tc>
      </w:tr>
      <w:tr w:rsidR="00B27F16" w:rsidRPr="004128BC" w14:paraId="3542D9A5" w14:textId="77777777" w:rsidTr="00B27F16">
        <w:tblPrEx>
          <w:tblCellMar>
            <w:left w:w="0" w:type="dxa"/>
            <w:right w:w="0" w:type="dxa"/>
          </w:tblCellMar>
        </w:tblPrEx>
        <w:trPr>
          <w:gridAfter w:val="1"/>
          <w:wAfter w:w="13" w:type="dxa"/>
        </w:trPr>
        <w:tc>
          <w:tcPr>
            <w:tcW w:w="733" w:type="dxa"/>
            <w:gridSpan w:val="2"/>
            <w:shd w:val="clear" w:color="auto" w:fill="E7E6E6" w:themeFill="background2"/>
            <w:tcMar>
              <w:top w:w="0" w:type="dxa"/>
              <w:left w:w="108" w:type="dxa"/>
              <w:bottom w:w="0" w:type="dxa"/>
              <w:right w:w="108" w:type="dxa"/>
            </w:tcMar>
            <w:hideMark/>
          </w:tcPr>
          <w:p w14:paraId="45B9453C" w14:textId="77777777" w:rsidR="00945A32" w:rsidRPr="004128BC" w:rsidRDefault="00945A32" w:rsidP="00B5032F">
            <w:pPr>
              <w:jc w:val="both"/>
              <w:rPr>
                <w:color w:val="000000"/>
                <w:kern w:val="2"/>
                <w:sz w:val="20"/>
                <w:szCs w:val="20"/>
              </w:rPr>
            </w:pPr>
            <w:r w:rsidRPr="004128BC">
              <w:rPr>
                <w:color w:val="000000"/>
                <w:kern w:val="2"/>
                <w:sz w:val="20"/>
                <w:szCs w:val="20"/>
              </w:rPr>
              <w:t>Q28</w:t>
            </w:r>
          </w:p>
        </w:tc>
        <w:tc>
          <w:tcPr>
            <w:tcW w:w="2237" w:type="dxa"/>
            <w:shd w:val="clear" w:color="auto" w:fill="E7E6E6" w:themeFill="background2"/>
            <w:tcMar>
              <w:top w:w="0" w:type="dxa"/>
              <w:left w:w="108" w:type="dxa"/>
              <w:bottom w:w="0" w:type="dxa"/>
              <w:right w:w="108" w:type="dxa"/>
            </w:tcMar>
          </w:tcPr>
          <w:p w14:paraId="6FA1EDBA" w14:textId="77777777" w:rsidR="00945A32" w:rsidRPr="00984F4A" w:rsidRDefault="00945A32" w:rsidP="00B5032F">
            <w:pPr>
              <w:rPr>
                <w:kern w:val="2"/>
                <w:sz w:val="20"/>
                <w:szCs w:val="20"/>
              </w:rPr>
            </w:pPr>
          </w:p>
        </w:tc>
        <w:tc>
          <w:tcPr>
            <w:tcW w:w="1111" w:type="dxa"/>
            <w:gridSpan w:val="2"/>
            <w:shd w:val="clear" w:color="auto" w:fill="E7E6E6" w:themeFill="background2"/>
            <w:tcMar>
              <w:top w:w="0" w:type="dxa"/>
              <w:left w:w="108" w:type="dxa"/>
              <w:bottom w:w="0" w:type="dxa"/>
              <w:right w:w="108" w:type="dxa"/>
            </w:tcMar>
          </w:tcPr>
          <w:p w14:paraId="3229FE18" w14:textId="77777777" w:rsidR="00945A32" w:rsidRPr="00984F4A" w:rsidRDefault="00945A32" w:rsidP="00B5032F">
            <w:pPr>
              <w:rPr>
                <w:kern w:val="2"/>
                <w:sz w:val="20"/>
                <w:szCs w:val="20"/>
              </w:rPr>
            </w:pPr>
          </w:p>
        </w:tc>
        <w:tc>
          <w:tcPr>
            <w:tcW w:w="2688" w:type="dxa"/>
            <w:shd w:val="clear" w:color="auto" w:fill="E7E6E6" w:themeFill="background2"/>
            <w:tcMar>
              <w:top w:w="0" w:type="dxa"/>
              <w:left w:w="108" w:type="dxa"/>
              <w:bottom w:w="0" w:type="dxa"/>
              <w:right w:w="108" w:type="dxa"/>
            </w:tcMar>
            <w:hideMark/>
          </w:tcPr>
          <w:p w14:paraId="1005AC93" w14:textId="77777777" w:rsidR="00945A32" w:rsidRPr="00984F4A" w:rsidRDefault="00945A32" w:rsidP="00B5032F">
            <w:pPr>
              <w:rPr>
                <w:color w:val="000000"/>
                <w:kern w:val="2"/>
                <w:sz w:val="20"/>
                <w:szCs w:val="20"/>
              </w:rPr>
            </w:pPr>
            <w:r w:rsidRPr="00984F4A">
              <w:rPr>
                <w:color w:val="000000"/>
                <w:kern w:val="2"/>
                <w:sz w:val="20"/>
                <w:szCs w:val="20"/>
              </w:rPr>
              <w:t>Are there employees who reside outside of the United States?</w:t>
            </w:r>
          </w:p>
        </w:tc>
        <w:tc>
          <w:tcPr>
            <w:tcW w:w="3251" w:type="dxa"/>
            <w:shd w:val="clear" w:color="auto" w:fill="E7E6E6" w:themeFill="background2"/>
            <w:tcMar>
              <w:top w:w="0" w:type="dxa"/>
              <w:left w:w="108" w:type="dxa"/>
              <w:bottom w:w="0" w:type="dxa"/>
              <w:right w:w="108" w:type="dxa"/>
            </w:tcMar>
          </w:tcPr>
          <w:p w14:paraId="44BA2C50" w14:textId="77777777" w:rsidR="00945A32" w:rsidRPr="00984F4A" w:rsidRDefault="00945A32" w:rsidP="00B5032F">
            <w:pPr>
              <w:rPr>
                <w:kern w:val="2"/>
                <w:sz w:val="20"/>
                <w:szCs w:val="20"/>
              </w:rPr>
            </w:pPr>
            <w:r>
              <w:rPr>
                <w:kern w:val="2"/>
                <w:sz w:val="20"/>
                <w:szCs w:val="20"/>
              </w:rPr>
              <w:t>Yes, t</w:t>
            </w:r>
            <w:r w:rsidRPr="00D9013D">
              <w:rPr>
                <w:kern w:val="2"/>
                <w:sz w:val="20"/>
                <w:szCs w:val="20"/>
              </w:rPr>
              <w:t>here are employees and retirees who participate in the Department’s pre-tax programs that reside outside of the U.S.</w:t>
            </w:r>
          </w:p>
        </w:tc>
      </w:tr>
      <w:tr w:rsidR="00B27F16" w:rsidRPr="004128BC" w14:paraId="1603DEB5" w14:textId="77777777" w:rsidTr="00B27F16">
        <w:tblPrEx>
          <w:tblCellMar>
            <w:left w:w="0" w:type="dxa"/>
            <w:right w:w="0" w:type="dxa"/>
          </w:tblCellMar>
        </w:tblPrEx>
        <w:trPr>
          <w:gridAfter w:val="1"/>
          <w:wAfter w:w="13" w:type="dxa"/>
        </w:trPr>
        <w:tc>
          <w:tcPr>
            <w:tcW w:w="733" w:type="dxa"/>
            <w:gridSpan w:val="2"/>
            <w:shd w:val="clear" w:color="auto" w:fill="D5DCE4" w:themeFill="text2" w:themeFillTint="33"/>
            <w:tcMar>
              <w:top w:w="0" w:type="dxa"/>
              <w:left w:w="108" w:type="dxa"/>
              <w:bottom w:w="0" w:type="dxa"/>
              <w:right w:w="108" w:type="dxa"/>
            </w:tcMar>
            <w:hideMark/>
          </w:tcPr>
          <w:p w14:paraId="60A46DF3" w14:textId="77777777" w:rsidR="00945A32" w:rsidRPr="004128BC" w:rsidRDefault="00945A32" w:rsidP="00B5032F">
            <w:pPr>
              <w:jc w:val="both"/>
              <w:rPr>
                <w:color w:val="000000"/>
                <w:kern w:val="2"/>
                <w:sz w:val="20"/>
                <w:szCs w:val="20"/>
              </w:rPr>
            </w:pPr>
            <w:r w:rsidRPr="004128BC">
              <w:rPr>
                <w:color w:val="000000"/>
                <w:kern w:val="2"/>
                <w:sz w:val="20"/>
                <w:szCs w:val="20"/>
              </w:rPr>
              <w:t>Q29</w:t>
            </w:r>
          </w:p>
        </w:tc>
        <w:tc>
          <w:tcPr>
            <w:tcW w:w="2237" w:type="dxa"/>
            <w:shd w:val="clear" w:color="auto" w:fill="D5DCE4" w:themeFill="text2" w:themeFillTint="33"/>
            <w:tcMar>
              <w:top w:w="0" w:type="dxa"/>
              <w:left w:w="108" w:type="dxa"/>
              <w:bottom w:w="0" w:type="dxa"/>
              <w:right w:w="108" w:type="dxa"/>
            </w:tcMar>
          </w:tcPr>
          <w:p w14:paraId="1F1AE968" w14:textId="77777777" w:rsidR="00945A32" w:rsidRPr="00984F4A" w:rsidRDefault="00945A32" w:rsidP="00B5032F">
            <w:pPr>
              <w:rPr>
                <w:kern w:val="2"/>
                <w:sz w:val="20"/>
                <w:szCs w:val="20"/>
              </w:rPr>
            </w:pPr>
          </w:p>
        </w:tc>
        <w:tc>
          <w:tcPr>
            <w:tcW w:w="1111" w:type="dxa"/>
            <w:gridSpan w:val="2"/>
            <w:shd w:val="clear" w:color="auto" w:fill="D5DCE4" w:themeFill="text2" w:themeFillTint="33"/>
            <w:tcMar>
              <w:top w:w="0" w:type="dxa"/>
              <w:left w:w="108" w:type="dxa"/>
              <w:bottom w:w="0" w:type="dxa"/>
              <w:right w:w="108" w:type="dxa"/>
            </w:tcMar>
          </w:tcPr>
          <w:p w14:paraId="6679045C" w14:textId="77777777" w:rsidR="00945A32" w:rsidRPr="00984F4A" w:rsidRDefault="00945A32" w:rsidP="00B5032F">
            <w:pPr>
              <w:rPr>
                <w:kern w:val="2"/>
                <w:sz w:val="20"/>
                <w:szCs w:val="20"/>
              </w:rPr>
            </w:pPr>
          </w:p>
        </w:tc>
        <w:tc>
          <w:tcPr>
            <w:tcW w:w="2688" w:type="dxa"/>
            <w:shd w:val="clear" w:color="auto" w:fill="D5DCE4" w:themeFill="text2" w:themeFillTint="33"/>
            <w:tcMar>
              <w:top w:w="0" w:type="dxa"/>
              <w:left w:w="108" w:type="dxa"/>
              <w:bottom w:w="0" w:type="dxa"/>
              <w:right w:w="108" w:type="dxa"/>
            </w:tcMar>
            <w:hideMark/>
          </w:tcPr>
          <w:p w14:paraId="4BA9257F" w14:textId="77777777" w:rsidR="00945A32" w:rsidRPr="00984F4A" w:rsidRDefault="00945A32" w:rsidP="00B5032F">
            <w:pPr>
              <w:rPr>
                <w:color w:val="000000"/>
                <w:kern w:val="2"/>
                <w:sz w:val="20"/>
                <w:szCs w:val="20"/>
              </w:rPr>
            </w:pPr>
            <w:r w:rsidRPr="00984F4A">
              <w:rPr>
                <w:color w:val="000000"/>
                <w:kern w:val="2"/>
                <w:sz w:val="20"/>
                <w:szCs w:val="20"/>
              </w:rPr>
              <w:t>Does each entity prefer/need to have their own reporting and administrative invoicing produced?</w:t>
            </w:r>
          </w:p>
        </w:tc>
        <w:tc>
          <w:tcPr>
            <w:tcW w:w="3251" w:type="dxa"/>
            <w:shd w:val="clear" w:color="auto" w:fill="D5DCE4" w:themeFill="text2" w:themeFillTint="33"/>
            <w:tcMar>
              <w:top w:w="0" w:type="dxa"/>
              <w:left w:w="108" w:type="dxa"/>
              <w:bottom w:w="0" w:type="dxa"/>
              <w:right w:w="108" w:type="dxa"/>
            </w:tcMar>
          </w:tcPr>
          <w:p w14:paraId="33105E71" w14:textId="77777777" w:rsidR="00945A32" w:rsidRPr="00984F4A" w:rsidRDefault="00945A32" w:rsidP="00B5032F">
            <w:pPr>
              <w:rPr>
                <w:kern w:val="2"/>
                <w:sz w:val="20"/>
                <w:szCs w:val="20"/>
              </w:rPr>
            </w:pPr>
            <w:r w:rsidRPr="00D9013D">
              <w:rPr>
                <w:kern w:val="2"/>
                <w:sz w:val="20"/>
                <w:szCs w:val="20"/>
              </w:rPr>
              <w:t xml:space="preserve">Administrative invoicing will be done by the Department only (i.e., Contractors will not receive invoices from Payroll Centers or agencies/departments). A detailed invoice will reflect the Payroll Center’s participation of members in each of the benefit programs. </w:t>
            </w:r>
          </w:p>
        </w:tc>
      </w:tr>
      <w:tr w:rsidR="00B27F16" w14:paraId="7FC13AB7"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3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D838E70" w14:textId="77777777" w:rsidR="00945A32" w:rsidRDefault="00945A32" w:rsidP="00B5032F">
            <w:pPr>
              <w:jc w:val="both"/>
              <w:rPr>
                <w:sz w:val="20"/>
                <w:szCs w:val="20"/>
              </w:rPr>
            </w:pPr>
            <w:r>
              <w:rPr>
                <w:sz w:val="20"/>
                <w:szCs w:val="20"/>
              </w:rPr>
              <w:t>Q30</w:t>
            </w:r>
          </w:p>
        </w:tc>
        <w:tc>
          <w:tcPr>
            <w:tcW w:w="22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FC1982" w14:textId="77777777" w:rsidR="00945A32" w:rsidRPr="00984F4A" w:rsidRDefault="00945A32" w:rsidP="00B5032F">
            <w:pPr>
              <w:rPr>
                <w:sz w:val="20"/>
                <w:szCs w:val="20"/>
              </w:rPr>
            </w:pPr>
            <w:r w:rsidRPr="00D9013D">
              <w:rPr>
                <w:sz w:val="20"/>
                <w:szCs w:val="20"/>
              </w:rPr>
              <w:t>RFP</w:t>
            </w: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6B5A42" w14:textId="77777777" w:rsidR="00945A32" w:rsidRPr="00984F4A" w:rsidRDefault="00945A32" w:rsidP="00B5032F">
            <w:pPr>
              <w:rPr>
                <w:sz w:val="20"/>
                <w:szCs w:val="20"/>
              </w:rPr>
            </w:pPr>
            <w:r w:rsidRPr="00D9013D">
              <w:rPr>
                <w:sz w:val="20"/>
                <w:szCs w:val="20"/>
              </w:rPr>
              <w:t>Pgs</w:t>
            </w:r>
            <w:r w:rsidRPr="00984F4A">
              <w:rPr>
                <w:sz w:val="20"/>
                <w:szCs w:val="20"/>
              </w:rPr>
              <w:t xml:space="preserve"> 3 </w:t>
            </w:r>
            <w:r>
              <w:rPr>
                <w:sz w:val="20"/>
                <w:szCs w:val="20"/>
              </w:rPr>
              <w:t>&amp;</w:t>
            </w:r>
            <w:r w:rsidRPr="00984F4A">
              <w:rPr>
                <w:sz w:val="20"/>
                <w:szCs w:val="20"/>
              </w:rPr>
              <w:t xml:space="preserve"> 6</w:t>
            </w: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5725B23" w14:textId="77777777" w:rsidR="00945A32" w:rsidRPr="00984F4A" w:rsidRDefault="00945A32" w:rsidP="00B5032F">
            <w:pPr>
              <w:rPr>
                <w:sz w:val="20"/>
                <w:szCs w:val="20"/>
              </w:rPr>
            </w:pPr>
            <w:r w:rsidRPr="00984F4A">
              <w:rPr>
                <w:sz w:val="20"/>
                <w:szCs w:val="20"/>
              </w:rPr>
              <w:t>Please provide clarity regarding the benefits eligible count of 678,000, and those offered HSA/FSA/Commuter listed at 95,000. Are the remaining benefits eligible population retirees?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4F1F1A4A" w14:textId="77777777" w:rsidR="00945A32" w:rsidRDefault="00945A32" w:rsidP="00B5032F">
            <w:pPr>
              <w:spacing w:after="60"/>
              <w:rPr>
                <w:sz w:val="20"/>
                <w:szCs w:val="20"/>
              </w:rPr>
            </w:pPr>
            <w:r w:rsidRPr="00D9013D">
              <w:rPr>
                <w:sz w:val="20"/>
                <w:szCs w:val="20"/>
              </w:rPr>
              <w:t>678,000</w:t>
            </w:r>
            <w:r>
              <w:rPr>
                <w:sz w:val="20"/>
                <w:szCs w:val="20"/>
              </w:rPr>
              <w:t xml:space="preserve"> is the number of current and former State and local government employees and their eligible family members that participate in the Wisconsin Retirement System (WRS). These employees and retirees represent more than 1,500 state and local employers. Currently, local employers do not participate in the pre-tax Benefit Programs. In the future, the Department may offer these pre-tax Benefit Programs to local government employer groups.  See </w:t>
            </w:r>
            <w:hyperlink r:id="rId12" w:history="1">
              <w:r w:rsidRPr="00257047">
                <w:rPr>
                  <w:rStyle w:val="Hyperlink"/>
                  <w:sz w:val="20"/>
                  <w:szCs w:val="20"/>
                </w:rPr>
                <w:t>https://etf.wi.gov/resource/our-wisconsin-retirement-system-strong-wisconsin</w:t>
              </w:r>
            </w:hyperlink>
            <w:r>
              <w:rPr>
                <w:sz w:val="20"/>
                <w:szCs w:val="20"/>
              </w:rPr>
              <w:t xml:space="preserve">. </w:t>
            </w:r>
          </w:p>
          <w:p w14:paraId="77407B25" w14:textId="77777777" w:rsidR="00945A32" w:rsidRPr="00984F4A" w:rsidRDefault="00945A32" w:rsidP="00B5032F">
            <w:pPr>
              <w:rPr>
                <w:sz w:val="20"/>
                <w:szCs w:val="20"/>
              </w:rPr>
            </w:pPr>
            <w:r w:rsidRPr="00D9013D">
              <w:rPr>
                <w:sz w:val="20"/>
                <w:szCs w:val="20"/>
              </w:rPr>
              <w:lastRenderedPageBreak/>
              <w:t>Under the</w:t>
            </w:r>
            <w:r>
              <w:rPr>
                <w:sz w:val="20"/>
                <w:szCs w:val="20"/>
              </w:rPr>
              <w:t xml:space="preserve"> pre-tax</w:t>
            </w:r>
            <w:r w:rsidRPr="00D9013D">
              <w:rPr>
                <w:sz w:val="20"/>
                <w:szCs w:val="20"/>
              </w:rPr>
              <w:t xml:space="preserve"> </w:t>
            </w:r>
            <w:r>
              <w:rPr>
                <w:sz w:val="20"/>
                <w:szCs w:val="20"/>
              </w:rPr>
              <w:t>Benefit Programs</w:t>
            </w:r>
            <w:r w:rsidRPr="00D9013D">
              <w:rPr>
                <w:sz w:val="20"/>
                <w:szCs w:val="20"/>
              </w:rPr>
              <w:t xml:space="preserve">, which </w:t>
            </w:r>
            <w:r>
              <w:rPr>
                <w:sz w:val="20"/>
                <w:szCs w:val="20"/>
              </w:rPr>
              <w:t>are</w:t>
            </w:r>
            <w:r w:rsidRPr="00D9013D">
              <w:rPr>
                <w:sz w:val="20"/>
                <w:szCs w:val="20"/>
              </w:rPr>
              <w:t xml:space="preserve"> only available to State Employe</w:t>
            </w:r>
            <w:r>
              <w:rPr>
                <w:sz w:val="20"/>
                <w:szCs w:val="20"/>
              </w:rPr>
              <w:t>e</w:t>
            </w:r>
            <w:r w:rsidRPr="00D9013D">
              <w:rPr>
                <w:sz w:val="20"/>
                <w:szCs w:val="20"/>
              </w:rPr>
              <w:t xml:space="preserve">s, 95,000 </w:t>
            </w:r>
            <w:r>
              <w:rPr>
                <w:sz w:val="20"/>
                <w:szCs w:val="20"/>
              </w:rPr>
              <w:t>Employees</w:t>
            </w:r>
            <w:r w:rsidRPr="00D9013D">
              <w:rPr>
                <w:sz w:val="20"/>
                <w:szCs w:val="20"/>
              </w:rPr>
              <w:t xml:space="preserve"> are eligible to participate. </w:t>
            </w:r>
          </w:p>
        </w:tc>
      </w:tr>
      <w:tr w:rsidR="00B27F16" w14:paraId="1AC669E3"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2F67D7C" w14:textId="77777777" w:rsidR="00945A32" w:rsidRDefault="00945A32" w:rsidP="00B5032F">
            <w:pPr>
              <w:jc w:val="both"/>
              <w:rPr>
                <w:sz w:val="20"/>
                <w:szCs w:val="20"/>
              </w:rPr>
            </w:pPr>
            <w:r>
              <w:rPr>
                <w:sz w:val="20"/>
                <w:szCs w:val="20"/>
              </w:rPr>
              <w:lastRenderedPageBreak/>
              <w:t>Q31</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38D364"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1278E5"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B4D3AA" w14:textId="77777777" w:rsidR="00945A32" w:rsidRPr="00984F4A" w:rsidRDefault="00945A32" w:rsidP="00B5032F">
            <w:pPr>
              <w:rPr>
                <w:sz w:val="20"/>
                <w:szCs w:val="20"/>
              </w:rPr>
            </w:pPr>
            <w:r w:rsidRPr="00984F4A">
              <w:rPr>
                <w:sz w:val="20"/>
                <w:szCs w:val="20"/>
              </w:rPr>
              <w:t>Are retirees offered HSA and FSA benefits if on the group health plans still?</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28FEDF" w14:textId="77777777" w:rsidR="00945A32" w:rsidRPr="00984F4A" w:rsidRDefault="00945A32" w:rsidP="00B5032F">
            <w:pPr>
              <w:rPr>
                <w:sz w:val="20"/>
                <w:szCs w:val="20"/>
              </w:rPr>
            </w:pPr>
            <w:r>
              <w:rPr>
                <w:sz w:val="20"/>
                <w:szCs w:val="20"/>
              </w:rPr>
              <w:t xml:space="preserve">Retirees are not eligible for </w:t>
            </w:r>
            <w:r w:rsidRPr="00D9013D">
              <w:rPr>
                <w:sz w:val="20"/>
                <w:szCs w:val="20"/>
              </w:rPr>
              <w:t xml:space="preserve">FSAs. Retirees enrolled in the State HDHP are required to maintain an HSA with the Contractor. </w:t>
            </w:r>
          </w:p>
        </w:tc>
      </w:tr>
      <w:tr w:rsidR="00B27F16" w14:paraId="69A25371"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D8D7C5" w14:textId="77777777" w:rsidR="00945A32" w:rsidRDefault="00945A32" w:rsidP="00B5032F">
            <w:pPr>
              <w:jc w:val="both"/>
              <w:rPr>
                <w:sz w:val="20"/>
                <w:szCs w:val="20"/>
              </w:rPr>
            </w:pPr>
            <w:r>
              <w:rPr>
                <w:sz w:val="20"/>
                <w:szCs w:val="20"/>
              </w:rPr>
              <w:t>Q32</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1DA8425"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770C68A3"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2173651" w14:textId="77777777" w:rsidR="00945A32" w:rsidRPr="00984F4A" w:rsidRDefault="00945A32" w:rsidP="00B5032F">
            <w:pPr>
              <w:rPr>
                <w:sz w:val="20"/>
                <w:szCs w:val="20"/>
              </w:rPr>
            </w:pPr>
            <w:r w:rsidRPr="00984F4A">
              <w:rPr>
                <w:sz w:val="20"/>
                <w:szCs w:val="20"/>
              </w:rPr>
              <w:t>Please provide clarity between the State Groups and the Employer Groups.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3F8B9A11" w14:textId="77777777" w:rsidR="00945A32" w:rsidRPr="00984F4A" w:rsidRDefault="00945A32" w:rsidP="00B5032F">
            <w:pPr>
              <w:rPr>
                <w:sz w:val="20"/>
                <w:szCs w:val="20"/>
              </w:rPr>
            </w:pPr>
            <w:r w:rsidRPr="00D9013D">
              <w:rPr>
                <w:sz w:val="20"/>
                <w:szCs w:val="20"/>
              </w:rPr>
              <w:t xml:space="preserve">The Department offers benefits to State and Local Groups. Employer Groups in the RFP refers to the State Groups or the 9 Payroll Centers that are eligible for the </w:t>
            </w:r>
            <w:r w:rsidRPr="00D9013D" w:rsidDel="001F752B">
              <w:rPr>
                <w:sz w:val="20"/>
                <w:szCs w:val="20"/>
              </w:rPr>
              <w:t xml:space="preserve">pre-tax </w:t>
            </w:r>
            <w:r>
              <w:rPr>
                <w:sz w:val="20"/>
                <w:szCs w:val="20"/>
              </w:rPr>
              <w:t>Benefit Programs</w:t>
            </w:r>
            <w:r w:rsidRPr="00D9013D">
              <w:rPr>
                <w:sz w:val="20"/>
                <w:szCs w:val="20"/>
              </w:rPr>
              <w:t xml:space="preserve">. </w:t>
            </w:r>
          </w:p>
        </w:tc>
      </w:tr>
      <w:tr w:rsidR="00B27F16" w14:paraId="7A531749"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680B04" w14:textId="77777777" w:rsidR="00945A32" w:rsidRPr="00D9013D" w:rsidRDefault="00945A32" w:rsidP="00B5032F">
            <w:pPr>
              <w:rPr>
                <w:sz w:val="20"/>
                <w:szCs w:val="20"/>
              </w:rPr>
            </w:pPr>
            <w:r>
              <w:rPr>
                <w:sz w:val="20"/>
                <w:szCs w:val="20"/>
              </w:rPr>
              <w:t>Q33</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7B60B0"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38F750"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747474" w14:textId="77777777" w:rsidR="00945A32" w:rsidRPr="00984F4A" w:rsidRDefault="00945A32" w:rsidP="00B5032F">
            <w:pPr>
              <w:rPr>
                <w:sz w:val="20"/>
                <w:szCs w:val="20"/>
              </w:rPr>
            </w:pPr>
            <w:r w:rsidRPr="00984F4A">
              <w:rPr>
                <w:sz w:val="20"/>
                <w:szCs w:val="20"/>
              </w:rPr>
              <w:t>Would the Department anticipate future sales opportunities for green space when bringing on more State/Employer groups under the umbrella, or expanding benefit offerings?</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A46F69" w14:textId="77777777" w:rsidR="00945A32" w:rsidRPr="00984F4A" w:rsidRDefault="00945A32" w:rsidP="00B5032F">
            <w:pPr>
              <w:rPr>
                <w:sz w:val="20"/>
                <w:szCs w:val="20"/>
              </w:rPr>
            </w:pPr>
            <w:r w:rsidRPr="00D9013D">
              <w:rPr>
                <w:sz w:val="20"/>
                <w:szCs w:val="20"/>
              </w:rPr>
              <w:t>The Department is exploring expansion of the</w:t>
            </w:r>
            <w:r>
              <w:rPr>
                <w:sz w:val="20"/>
                <w:szCs w:val="20"/>
              </w:rPr>
              <w:t xml:space="preserve"> pre-tax Benefit Programs</w:t>
            </w:r>
            <w:r w:rsidRPr="00D9013D" w:rsidDel="009E578F">
              <w:rPr>
                <w:sz w:val="20"/>
                <w:szCs w:val="20"/>
              </w:rPr>
              <w:t xml:space="preserve"> </w:t>
            </w:r>
            <w:r w:rsidRPr="00D9013D">
              <w:rPr>
                <w:sz w:val="20"/>
                <w:szCs w:val="20"/>
              </w:rPr>
              <w:t xml:space="preserve">to local </w:t>
            </w:r>
            <w:r>
              <w:rPr>
                <w:sz w:val="20"/>
                <w:szCs w:val="20"/>
              </w:rPr>
              <w:t>E</w:t>
            </w:r>
            <w:r w:rsidRPr="00D9013D">
              <w:rPr>
                <w:sz w:val="20"/>
                <w:szCs w:val="20"/>
              </w:rPr>
              <w:t xml:space="preserve">mployers sometime </w:t>
            </w:r>
            <w:r>
              <w:rPr>
                <w:sz w:val="20"/>
                <w:szCs w:val="20"/>
              </w:rPr>
              <w:t xml:space="preserve">in the future. If the Department does expand these programs, the earliest this change would take place would be the 2027 plan year. </w:t>
            </w:r>
          </w:p>
        </w:tc>
      </w:tr>
      <w:tr w:rsidR="00B27F16" w14:paraId="45438296"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B14D5E" w14:textId="77777777" w:rsidR="00945A32" w:rsidRPr="00D9013D" w:rsidRDefault="00945A32" w:rsidP="00B5032F">
            <w:pPr>
              <w:rPr>
                <w:sz w:val="20"/>
                <w:szCs w:val="20"/>
              </w:rPr>
            </w:pPr>
            <w:r>
              <w:rPr>
                <w:sz w:val="20"/>
                <w:szCs w:val="20"/>
              </w:rPr>
              <w:t>Q34</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CF2071D"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3C078F98"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91C8C92" w14:textId="77777777" w:rsidR="00945A32" w:rsidRPr="00984F4A" w:rsidRDefault="00945A32" w:rsidP="00B5032F">
            <w:pPr>
              <w:rPr>
                <w:sz w:val="20"/>
                <w:szCs w:val="20"/>
              </w:rPr>
            </w:pPr>
            <w:r w:rsidRPr="00984F4A">
              <w:rPr>
                <w:sz w:val="20"/>
                <w:szCs w:val="20"/>
              </w:rPr>
              <w:t>Is the current incumbent Optum?</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2749620E" w14:textId="77777777" w:rsidR="00945A32" w:rsidRPr="00984F4A" w:rsidRDefault="00945A32" w:rsidP="00B5032F">
            <w:pPr>
              <w:rPr>
                <w:sz w:val="20"/>
                <w:szCs w:val="20"/>
              </w:rPr>
            </w:pPr>
            <w:r>
              <w:rPr>
                <w:sz w:val="20"/>
                <w:szCs w:val="20"/>
              </w:rPr>
              <w:t>Yes</w:t>
            </w:r>
            <w:r w:rsidRPr="00D9013D">
              <w:rPr>
                <w:sz w:val="20"/>
                <w:szCs w:val="20"/>
              </w:rPr>
              <w:t>.</w:t>
            </w:r>
          </w:p>
        </w:tc>
      </w:tr>
      <w:tr w:rsidR="00B27F16" w14:paraId="686D79BA"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F5839E" w14:textId="77777777" w:rsidR="00945A32" w:rsidRPr="00D9013D" w:rsidRDefault="00945A32" w:rsidP="00B5032F">
            <w:pPr>
              <w:rPr>
                <w:sz w:val="20"/>
                <w:szCs w:val="20"/>
              </w:rPr>
            </w:pPr>
            <w:r>
              <w:rPr>
                <w:sz w:val="20"/>
                <w:szCs w:val="20"/>
              </w:rPr>
              <w:t>Q35</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C7170B"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CBE83F"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999E6B" w14:textId="77777777" w:rsidR="00945A32" w:rsidRPr="00984F4A" w:rsidRDefault="00945A32" w:rsidP="00B5032F">
            <w:pPr>
              <w:rPr>
                <w:sz w:val="20"/>
                <w:szCs w:val="20"/>
              </w:rPr>
            </w:pPr>
            <w:r w:rsidRPr="00984F4A">
              <w:rPr>
                <w:sz w:val="20"/>
                <w:szCs w:val="20"/>
              </w:rPr>
              <w:t>When is the last time a vendor change was made?</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5F2725" w14:textId="77777777" w:rsidR="00945A32" w:rsidRPr="00984F4A" w:rsidRDefault="00945A32" w:rsidP="00B5032F">
            <w:pPr>
              <w:rPr>
                <w:sz w:val="20"/>
                <w:szCs w:val="20"/>
              </w:rPr>
            </w:pPr>
            <w:r>
              <w:rPr>
                <w:sz w:val="20"/>
                <w:szCs w:val="20"/>
              </w:rPr>
              <w:t>2019</w:t>
            </w:r>
            <w:r w:rsidRPr="00D9013D">
              <w:rPr>
                <w:sz w:val="20"/>
                <w:szCs w:val="20"/>
              </w:rPr>
              <w:t>.</w:t>
            </w:r>
          </w:p>
        </w:tc>
      </w:tr>
      <w:tr w:rsidR="00B27F16" w14:paraId="01C2B0CA"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E3B2C1" w14:textId="77777777" w:rsidR="00945A32" w:rsidRPr="00D9013D" w:rsidRDefault="00945A32" w:rsidP="00B5032F">
            <w:pPr>
              <w:rPr>
                <w:sz w:val="20"/>
                <w:szCs w:val="20"/>
              </w:rPr>
            </w:pPr>
            <w:r>
              <w:rPr>
                <w:sz w:val="20"/>
                <w:szCs w:val="20"/>
              </w:rPr>
              <w:t>Q36</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C4D7C51"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63A6FFF9"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8B6D76A" w14:textId="77777777" w:rsidR="00945A32" w:rsidRPr="00984F4A" w:rsidRDefault="00945A32" w:rsidP="00B5032F">
            <w:pPr>
              <w:rPr>
                <w:sz w:val="20"/>
                <w:szCs w:val="20"/>
              </w:rPr>
            </w:pPr>
            <w:r w:rsidRPr="00984F4A">
              <w:rPr>
                <w:sz w:val="20"/>
                <w:szCs w:val="20"/>
              </w:rPr>
              <w:t>Have HSAs specifically been moved from one vendor to another previously?</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3972BCD3" w14:textId="77777777" w:rsidR="00945A32" w:rsidRPr="00984F4A" w:rsidRDefault="00945A32" w:rsidP="00B5032F">
            <w:pPr>
              <w:rPr>
                <w:sz w:val="20"/>
                <w:szCs w:val="20"/>
              </w:rPr>
            </w:pPr>
            <w:r w:rsidRPr="00D9013D">
              <w:rPr>
                <w:sz w:val="20"/>
                <w:szCs w:val="20"/>
              </w:rPr>
              <w:t>Yes.</w:t>
            </w:r>
            <w:r w:rsidRPr="00D9013D" w:rsidDel="009C03BF">
              <w:rPr>
                <w:sz w:val="20"/>
                <w:szCs w:val="20"/>
              </w:rPr>
              <w:t xml:space="preserve"> </w:t>
            </w:r>
          </w:p>
        </w:tc>
      </w:tr>
      <w:tr w:rsidR="00B27F16" w14:paraId="5E0C999C"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04E976" w14:textId="77777777" w:rsidR="00945A32" w:rsidRPr="00D9013D" w:rsidRDefault="00945A32" w:rsidP="00B5032F">
            <w:pPr>
              <w:rPr>
                <w:sz w:val="20"/>
                <w:szCs w:val="20"/>
              </w:rPr>
            </w:pPr>
            <w:r>
              <w:rPr>
                <w:sz w:val="20"/>
                <w:szCs w:val="20"/>
              </w:rPr>
              <w:t>Q37</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D1090"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F133BE"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5AA1D1" w14:textId="77777777" w:rsidR="00945A32" w:rsidRPr="00984F4A" w:rsidRDefault="00945A32" w:rsidP="00B5032F">
            <w:pPr>
              <w:rPr>
                <w:sz w:val="20"/>
                <w:szCs w:val="20"/>
              </w:rPr>
            </w:pPr>
            <w:r w:rsidRPr="00984F4A">
              <w:rPr>
                <w:sz w:val="20"/>
                <w:szCs w:val="20"/>
              </w:rPr>
              <w:t>If HSAs have previously been moved, what was the process and how was the overall experience?</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FEA5B1" w14:textId="77777777" w:rsidR="00945A32" w:rsidRPr="00D9013D" w:rsidRDefault="00945A32" w:rsidP="00B5032F">
            <w:pPr>
              <w:spacing w:after="60"/>
              <w:rPr>
                <w:sz w:val="20"/>
                <w:szCs w:val="20"/>
              </w:rPr>
            </w:pPr>
            <w:r w:rsidRPr="00D9013D">
              <w:rPr>
                <w:sz w:val="20"/>
                <w:szCs w:val="20"/>
              </w:rPr>
              <w:t xml:space="preserve">The Contractor will provide an HSA e-consent agreement to members who wish to transfer their funds from </w:t>
            </w:r>
            <w:r>
              <w:rPr>
                <w:sz w:val="20"/>
                <w:szCs w:val="20"/>
              </w:rPr>
              <w:t xml:space="preserve">the </w:t>
            </w:r>
            <w:r w:rsidRPr="00D9013D">
              <w:rPr>
                <w:sz w:val="20"/>
                <w:szCs w:val="20"/>
              </w:rPr>
              <w:t>prior vendor</w:t>
            </w:r>
            <w:r>
              <w:rPr>
                <w:sz w:val="20"/>
                <w:szCs w:val="20"/>
              </w:rPr>
              <w:t xml:space="preserve"> to the new Contractor</w:t>
            </w:r>
            <w:r w:rsidRPr="00D9013D">
              <w:rPr>
                <w:sz w:val="20"/>
                <w:szCs w:val="20"/>
              </w:rPr>
              <w:t xml:space="preserve">. </w:t>
            </w:r>
          </w:p>
          <w:p w14:paraId="172769A5" w14:textId="77777777" w:rsidR="00945A32" w:rsidRPr="00984F4A" w:rsidRDefault="00945A32" w:rsidP="00B5032F">
            <w:pPr>
              <w:rPr>
                <w:sz w:val="20"/>
                <w:szCs w:val="20"/>
              </w:rPr>
            </w:pPr>
            <w:r w:rsidRPr="00D9013D">
              <w:rPr>
                <w:sz w:val="20"/>
                <w:szCs w:val="20"/>
              </w:rPr>
              <w:t xml:space="preserve">The last transfer of HSA assets went smoothly. </w:t>
            </w:r>
          </w:p>
        </w:tc>
      </w:tr>
      <w:tr w:rsidR="00B27F16" w14:paraId="0F663379"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6DD821" w14:textId="77777777" w:rsidR="00945A32" w:rsidRPr="00D9013D" w:rsidRDefault="00945A32" w:rsidP="00B5032F">
            <w:pPr>
              <w:rPr>
                <w:sz w:val="20"/>
                <w:szCs w:val="20"/>
              </w:rPr>
            </w:pPr>
            <w:r>
              <w:rPr>
                <w:sz w:val="20"/>
                <w:szCs w:val="20"/>
              </w:rPr>
              <w:t>Q38</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5093764"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6D9EC327"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EB1A879" w14:textId="77777777" w:rsidR="00945A32" w:rsidRPr="00984F4A" w:rsidRDefault="00945A32" w:rsidP="00B5032F">
            <w:pPr>
              <w:rPr>
                <w:sz w:val="20"/>
                <w:szCs w:val="20"/>
              </w:rPr>
            </w:pPr>
            <w:r w:rsidRPr="00984F4A">
              <w:rPr>
                <w:sz w:val="20"/>
                <w:szCs w:val="20"/>
              </w:rPr>
              <w:t>Are there particular areas the Department is seeking to improve in regard to the experience with these products?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00992D29" w14:textId="77777777" w:rsidR="00945A32" w:rsidRPr="00984F4A" w:rsidRDefault="00945A32" w:rsidP="00B5032F">
            <w:pPr>
              <w:rPr>
                <w:sz w:val="20"/>
                <w:szCs w:val="20"/>
              </w:rPr>
            </w:pPr>
            <w:r w:rsidRPr="00D9013D">
              <w:rPr>
                <w:sz w:val="20"/>
                <w:szCs w:val="20"/>
              </w:rPr>
              <w:t>See RFP Section 1.3 Introduction regarding what the Board is looking for the Contractor(s) to do.</w:t>
            </w:r>
          </w:p>
        </w:tc>
      </w:tr>
      <w:tr w:rsidR="00B27F16" w14:paraId="0EDF2EC5"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D15790" w14:textId="77777777" w:rsidR="00945A32" w:rsidRPr="00D9013D" w:rsidRDefault="00945A32" w:rsidP="00B5032F">
            <w:pPr>
              <w:rPr>
                <w:sz w:val="20"/>
                <w:szCs w:val="20"/>
              </w:rPr>
            </w:pPr>
            <w:r>
              <w:rPr>
                <w:sz w:val="20"/>
                <w:szCs w:val="20"/>
              </w:rPr>
              <w:t>Q39</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1913E8"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1D6C51"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D152BD" w14:textId="77777777" w:rsidR="00945A32" w:rsidRPr="00984F4A" w:rsidRDefault="00945A32" w:rsidP="00B5032F">
            <w:pPr>
              <w:rPr>
                <w:sz w:val="20"/>
                <w:szCs w:val="20"/>
              </w:rPr>
            </w:pPr>
            <w:r w:rsidRPr="00984F4A">
              <w:rPr>
                <w:sz w:val="20"/>
                <w:szCs w:val="20"/>
              </w:rPr>
              <w:t>What is going particularly well with the experience for these products today?</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600B7B" w14:textId="77777777" w:rsidR="00945A32" w:rsidRPr="00D9013D" w:rsidRDefault="00945A32" w:rsidP="00B5032F">
            <w:pPr>
              <w:spacing w:after="60"/>
              <w:rPr>
                <w:sz w:val="20"/>
                <w:szCs w:val="20"/>
              </w:rPr>
            </w:pPr>
            <w:r w:rsidRPr="00D9013D">
              <w:rPr>
                <w:sz w:val="20"/>
                <w:szCs w:val="20"/>
              </w:rPr>
              <w:t>Members like the HSA product with the option to invest once they</w:t>
            </w:r>
            <w:r w:rsidRPr="00D9013D" w:rsidDel="003C21A7">
              <w:rPr>
                <w:sz w:val="20"/>
                <w:szCs w:val="20"/>
              </w:rPr>
              <w:t xml:space="preserve"> </w:t>
            </w:r>
            <w:r w:rsidRPr="00D9013D">
              <w:rPr>
                <w:sz w:val="20"/>
                <w:szCs w:val="20"/>
              </w:rPr>
              <w:t xml:space="preserve">reach $1,000. </w:t>
            </w:r>
          </w:p>
          <w:p w14:paraId="40A53A09" w14:textId="77777777" w:rsidR="00945A32" w:rsidRPr="00D9013D" w:rsidRDefault="00945A32" w:rsidP="00B5032F">
            <w:pPr>
              <w:spacing w:after="60"/>
              <w:rPr>
                <w:sz w:val="20"/>
                <w:szCs w:val="20"/>
              </w:rPr>
            </w:pPr>
            <w:r w:rsidRPr="00D9013D">
              <w:rPr>
                <w:sz w:val="20"/>
                <w:szCs w:val="20"/>
              </w:rPr>
              <w:t xml:space="preserve">The ability to provide substantiation or documentation for reimbursements through the </w:t>
            </w:r>
            <w:r w:rsidRPr="00D9013D">
              <w:rPr>
                <w:sz w:val="20"/>
                <w:szCs w:val="20"/>
              </w:rPr>
              <w:lastRenderedPageBreak/>
              <w:t xml:space="preserve">mobile application </w:t>
            </w:r>
            <w:r>
              <w:rPr>
                <w:sz w:val="20"/>
                <w:szCs w:val="20"/>
              </w:rPr>
              <w:t>is a preferred</w:t>
            </w:r>
            <w:r w:rsidRPr="00D9013D">
              <w:rPr>
                <w:sz w:val="20"/>
                <w:szCs w:val="20"/>
              </w:rPr>
              <w:t xml:space="preserve"> member experience. </w:t>
            </w:r>
          </w:p>
          <w:p w14:paraId="1DB048A2" w14:textId="77777777" w:rsidR="00945A32" w:rsidRPr="00984F4A" w:rsidRDefault="00945A32" w:rsidP="00B5032F">
            <w:pPr>
              <w:rPr>
                <w:sz w:val="20"/>
                <w:szCs w:val="20"/>
              </w:rPr>
            </w:pPr>
            <w:r>
              <w:rPr>
                <w:sz w:val="20"/>
                <w:szCs w:val="20"/>
              </w:rPr>
              <w:t xml:space="preserve">Customer service support via chat and a live customer service representative are member-preferred. </w:t>
            </w:r>
          </w:p>
        </w:tc>
      </w:tr>
      <w:tr w:rsidR="00B27F16" w14:paraId="040CB464"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11ECB9" w14:textId="77777777" w:rsidR="00945A32" w:rsidRPr="00D9013D" w:rsidRDefault="00945A32" w:rsidP="00B5032F">
            <w:pPr>
              <w:rPr>
                <w:sz w:val="20"/>
                <w:szCs w:val="20"/>
              </w:rPr>
            </w:pPr>
            <w:r>
              <w:rPr>
                <w:sz w:val="20"/>
                <w:szCs w:val="20"/>
              </w:rPr>
              <w:lastRenderedPageBreak/>
              <w:t>Q40</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1B32EAE"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521288E6"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C1AC888" w14:textId="77777777" w:rsidR="00945A32" w:rsidRPr="00984F4A" w:rsidRDefault="00945A32" w:rsidP="00B5032F">
            <w:pPr>
              <w:rPr>
                <w:sz w:val="20"/>
                <w:szCs w:val="20"/>
              </w:rPr>
            </w:pPr>
            <w:r w:rsidRPr="00984F4A">
              <w:rPr>
                <w:sz w:val="20"/>
                <w:szCs w:val="20"/>
              </w:rPr>
              <w:t>Have all renewals with the incumbent been utilized?</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1A8BE63F" w14:textId="77777777" w:rsidR="00945A32" w:rsidRPr="00984F4A" w:rsidRDefault="00945A32" w:rsidP="00B5032F">
            <w:pPr>
              <w:rPr>
                <w:sz w:val="20"/>
                <w:szCs w:val="20"/>
              </w:rPr>
            </w:pPr>
            <w:r w:rsidRPr="00D9013D" w:rsidDel="00412031">
              <w:rPr>
                <w:sz w:val="20"/>
                <w:szCs w:val="20"/>
              </w:rPr>
              <w:t xml:space="preserve">The current contract for the services described in RFP ETD0052-53 including renewals </w:t>
            </w:r>
            <w:r w:rsidRPr="00D9013D">
              <w:rPr>
                <w:sz w:val="20"/>
                <w:szCs w:val="20"/>
              </w:rPr>
              <w:t xml:space="preserve">expires on December 31, 2025. </w:t>
            </w:r>
          </w:p>
        </w:tc>
      </w:tr>
      <w:tr w:rsidR="00B27F16" w14:paraId="182F9EE8"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67107F6" w14:textId="77777777" w:rsidR="00945A32" w:rsidRPr="00D9013D" w:rsidRDefault="00945A32" w:rsidP="00B5032F">
            <w:pPr>
              <w:rPr>
                <w:sz w:val="20"/>
                <w:szCs w:val="20"/>
              </w:rPr>
            </w:pPr>
            <w:r>
              <w:rPr>
                <w:sz w:val="20"/>
                <w:szCs w:val="20"/>
              </w:rPr>
              <w:t>Q41</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4B6BF0"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78D4E5" w14:textId="77777777" w:rsidR="00945A32" w:rsidRPr="00984F4A" w:rsidRDefault="00945A32" w:rsidP="00B5032F">
            <w:pPr>
              <w:rPr>
                <w:sz w:val="20"/>
                <w:szCs w:val="20"/>
              </w:rPr>
            </w:pPr>
            <w:r w:rsidRPr="00984F4A">
              <w:rPr>
                <w:sz w:val="20"/>
                <w:szCs w:val="20"/>
              </w:rPr>
              <w:t>Pg 5</w:t>
            </w: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8C0E95" w14:textId="77777777" w:rsidR="00945A32" w:rsidRPr="00984F4A" w:rsidRDefault="00945A32" w:rsidP="00B5032F">
            <w:pPr>
              <w:rPr>
                <w:sz w:val="20"/>
                <w:szCs w:val="20"/>
              </w:rPr>
            </w:pPr>
            <w:r w:rsidRPr="00984F4A">
              <w:rPr>
                <w:sz w:val="20"/>
                <w:szCs w:val="20"/>
              </w:rPr>
              <w:t xml:space="preserve">Please confirm our understanding of an HSA-auto-enroll process </w:t>
            </w:r>
            <w:r w:rsidRPr="00D9013D">
              <w:rPr>
                <w:sz w:val="20"/>
                <w:szCs w:val="20"/>
              </w:rPr>
              <w:t>taking</w:t>
            </w:r>
            <w:r w:rsidRPr="00984F4A">
              <w:rPr>
                <w:sz w:val="20"/>
                <w:szCs w:val="20"/>
              </w:rPr>
              <w:t xml:space="preserve"> place today, when it states “</w:t>
            </w:r>
            <w:r w:rsidRPr="00984F4A">
              <w:rPr>
                <w:color w:val="000000"/>
                <w:sz w:val="20"/>
                <w:szCs w:val="20"/>
              </w:rPr>
              <w:t>The HDHP requires dual enrollment with the State sponsored HSA benefit option, and vice versa.</w:t>
            </w:r>
            <w:r w:rsidRPr="00984F4A">
              <w:rPr>
                <w:sz w:val="20"/>
                <w:szCs w:val="20"/>
              </w:rPr>
              <w:t>” In other words, if an employee is enrolled in the HDHP, are they automatically also enrolled in a HSA?</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186F93" w14:textId="77777777" w:rsidR="00945A32" w:rsidRPr="00D9013D" w:rsidRDefault="00945A32" w:rsidP="00B5032F">
            <w:pPr>
              <w:spacing w:after="60"/>
              <w:rPr>
                <w:sz w:val="20"/>
                <w:szCs w:val="20"/>
              </w:rPr>
            </w:pPr>
            <w:r w:rsidRPr="00D9013D">
              <w:rPr>
                <w:sz w:val="20"/>
                <w:szCs w:val="20"/>
              </w:rPr>
              <w:t>Currently, there is no HSA auto-enrollment available due to Payroll Center system limitations.</w:t>
            </w:r>
            <w:r>
              <w:rPr>
                <w:sz w:val="20"/>
                <w:szCs w:val="20"/>
              </w:rPr>
              <w:t xml:space="preserve"> However, the Department, Payroll Centers, and the current contractor conduct regular audits to ensure all members enrolled in the GHIP HDHP are also enrolled in the HSA.</w:t>
            </w:r>
            <w:r w:rsidRPr="00D9013D">
              <w:rPr>
                <w:sz w:val="20"/>
                <w:szCs w:val="20"/>
              </w:rPr>
              <w:t xml:space="preserve"> </w:t>
            </w:r>
          </w:p>
          <w:p w14:paraId="237D4793" w14:textId="77777777" w:rsidR="00945A32" w:rsidRPr="00984F4A" w:rsidRDefault="00945A32" w:rsidP="00B5032F">
            <w:pPr>
              <w:rPr>
                <w:sz w:val="20"/>
                <w:szCs w:val="20"/>
              </w:rPr>
            </w:pPr>
            <w:r w:rsidRPr="00D9013D">
              <w:rPr>
                <w:sz w:val="20"/>
                <w:szCs w:val="20"/>
              </w:rPr>
              <w:t>The Department anticipates that its future insurance administration system will include HSA auto-enrollment alongside HDHP enrollment.</w:t>
            </w:r>
          </w:p>
        </w:tc>
      </w:tr>
      <w:tr w:rsidR="00B27F16" w14:paraId="1781EF03"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EFEF36" w14:textId="77777777" w:rsidR="00945A32" w:rsidRPr="00D9013D" w:rsidRDefault="00945A32" w:rsidP="00B5032F">
            <w:pPr>
              <w:rPr>
                <w:sz w:val="20"/>
                <w:szCs w:val="20"/>
              </w:rPr>
            </w:pPr>
            <w:r>
              <w:rPr>
                <w:sz w:val="20"/>
                <w:szCs w:val="20"/>
              </w:rPr>
              <w:t>Q42</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0B8EF05"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21B644CC"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879FF81" w14:textId="77777777" w:rsidR="00945A32" w:rsidRPr="00984F4A" w:rsidRDefault="00945A32" w:rsidP="00B5032F">
            <w:pPr>
              <w:rPr>
                <w:sz w:val="20"/>
                <w:szCs w:val="20"/>
              </w:rPr>
            </w:pPr>
            <w:r w:rsidRPr="00984F4A">
              <w:rPr>
                <w:sz w:val="20"/>
                <w:szCs w:val="20"/>
              </w:rPr>
              <w:t>What can be attributed to the reason there are less HSA enrollments in 2024 than there are in 2023?</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2B4BD6F3" w14:textId="77777777" w:rsidR="00945A32" w:rsidRPr="00984F4A" w:rsidRDefault="00945A32" w:rsidP="00B5032F">
            <w:pPr>
              <w:rPr>
                <w:sz w:val="20"/>
                <w:szCs w:val="20"/>
              </w:rPr>
            </w:pPr>
            <w:r>
              <w:rPr>
                <w:sz w:val="20"/>
                <w:szCs w:val="20"/>
              </w:rPr>
              <w:t xml:space="preserve">RFP Section 1.5: </w:t>
            </w:r>
            <w:r w:rsidRPr="00D9013D">
              <w:rPr>
                <w:sz w:val="20"/>
                <w:szCs w:val="20"/>
              </w:rPr>
              <w:t xml:space="preserve">The 2024 participation number listed is based on January 2024 enrollments only, whereas, the prior years </w:t>
            </w:r>
            <w:r>
              <w:rPr>
                <w:sz w:val="20"/>
                <w:szCs w:val="20"/>
              </w:rPr>
              <w:t xml:space="preserve">listed include the number of participants enrolled in an HSA throughout the year. </w:t>
            </w:r>
          </w:p>
        </w:tc>
      </w:tr>
      <w:tr w:rsidR="00B27F16" w14:paraId="0BE60B38"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BB0B8C" w14:textId="77777777" w:rsidR="00945A32" w:rsidRPr="00D9013D" w:rsidRDefault="00945A32" w:rsidP="00B5032F">
            <w:pPr>
              <w:rPr>
                <w:sz w:val="20"/>
                <w:szCs w:val="20"/>
              </w:rPr>
            </w:pPr>
            <w:r>
              <w:rPr>
                <w:sz w:val="20"/>
                <w:szCs w:val="20"/>
              </w:rPr>
              <w:t>Q43</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B6E250"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14D2A2"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E153D7" w14:textId="77777777" w:rsidR="00945A32" w:rsidRPr="00984F4A" w:rsidRDefault="00945A32" w:rsidP="00B5032F">
            <w:pPr>
              <w:rPr>
                <w:sz w:val="20"/>
                <w:szCs w:val="20"/>
              </w:rPr>
            </w:pPr>
            <w:r w:rsidRPr="00984F4A">
              <w:rPr>
                <w:sz w:val="20"/>
                <w:szCs w:val="20"/>
              </w:rPr>
              <w:t>Is there an employer HSA contribution today and if so, what is it? How long has the HSA employer contribution been in place?</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5A216A" w14:textId="77777777" w:rsidR="00945A32" w:rsidRDefault="00945A32" w:rsidP="00B5032F">
            <w:pPr>
              <w:spacing w:after="60"/>
              <w:rPr>
                <w:sz w:val="20"/>
                <w:szCs w:val="20"/>
              </w:rPr>
            </w:pPr>
            <w:r w:rsidRPr="00D9013D">
              <w:rPr>
                <w:sz w:val="20"/>
                <w:szCs w:val="20"/>
              </w:rPr>
              <w:t>See the response to Q1 above.</w:t>
            </w:r>
          </w:p>
          <w:p w14:paraId="07C0D633" w14:textId="77777777" w:rsidR="00945A32" w:rsidRPr="00984F4A" w:rsidRDefault="00945A32" w:rsidP="00B5032F">
            <w:pPr>
              <w:rPr>
                <w:sz w:val="20"/>
                <w:szCs w:val="20"/>
              </w:rPr>
            </w:pPr>
            <w:r>
              <w:rPr>
                <w:sz w:val="20"/>
                <w:szCs w:val="20"/>
              </w:rPr>
              <w:t xml:space="preserve">The HSA employer contribution has been offered since 2015. </w:t>
            </w:r>
          </w:p>
        </w:tc>
      </w:tr>
      <w:tr w:rsidR="00B27F16" w14:paraId="1D67302B"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4908A9" w14:textId="77777777" w:rsidR="00945A32" w:rsidRPr="00D9013D" w:rsidRDefault="00945A32" w:rsidP="00B5032F">
            <w:pPr>
              <w:rPr>
                <w:sz w:val="20"/>
                <w:szCs w:val="20"/>
              </w:rPr>
            </w:pPr>
            <w:r>
              <w:rPr>
                <w:sz w:val="20"/>
                <w:szCs w:val="20"/>
              </w:rPr>
              <w:t>Q44</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3DE0067"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26C2546C"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82D8762" w14:textId="77777777" w:rsidR="00945A32" w:rsidRPr="00984F4A" w:rsidRDefault="00945A32" w:rsidP="00B5032F">
            <w:pPr>
              <w:rPr>
                <w:sz w:val="20"/>
                <w:szCs w:val="20"/>
              </w:rPr>
            </w:pPr>
            <w:r w:rsidRPr="00984F4A">
              <w:rPr>
                <w:sz w:val="20"/>
                <w:szCs w:val="20"/>
              </w:rPr>
              <w:t>What are the HSA assets under management, broken out between funds in cash and funds in investment? This is an important detail to understand when determining a financial offer.</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55AF6D67" w14:textId="77777777" w:rsidR="00945A32" w:rsidRPr="00D9013D" w:rsidRDefault="00945A32" w:rsidP="00B5032F">
            <w:pPr>
              <w:spacing w:after="60"/>
              <w:rPr>
                <w:sz w:val="20"/>
                <w:szCs w:val="20"/>
              </w:rPr>
            </w:pPr>
            <w:r w:rsidRPr="00D9013D">
              <w:rPr>
                <w:sz w:val="20"/>
                <w:szCs w:val="20"/>
              </w:rPr>
              <w:t xml:space="preserve">As of June 2024: </w:t>
            </w:r>
          </w:p>
          <w:p w14:paraId="4604E81A" w14:textId="77777777" w:rsidR="00945A32" w:rsidRPr="00D9013D" w:rsidRDefault="00945A32" w:rsidP="00B5032F">
            <w:pPr>
              <w:rPr>
                <w:sz w:val="20"/>
                <w:szCs w:val="20"/>
              </w:rPr>
            </w:pPr>
            <w:r w:rsidRPr="00D9013D">
              <w:rPr>
                <w:sz w:val="20"/>
                <w:szCs w:val="20"/>
              </w:rPr>
              <w:t>Cash: $45.7 million dollars</w:t>
            </w:r>
          </w:p>
          <w:p w14:paraId="45490590" w14:textId="77777777" w:rsidR="00945A32" w:rsidRPr="00984F4A" w:rsidRDefault="00945A32" w:rsidP="00B5032F">
            <w:pPr>
              <w:rPr>
                <w:sz w:val="20"/>
                <w:szCs w:val="20"/>
              </w:rPr>
            </w:pPr>
            <w:r w:rsidRPr="00D9013D">
              <w:rPr>
                <w:sz w:val="20"/>
                <w:szCs w:val="20"/>
              </w:rPr>
              <w:t>Investments: $30.7 million dollars</w:t>
            </w:r>
          </w:p>
        </w:tc>
      </w:tr>
      <w:tr w:rsidR="00B27F16" w14:paraId="2E3DDC63"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AFA6B5" w14:textId="77777777" w:rsidR="00945A32" w:rsidRPr="00D9013D" w:rsidRDefault="00945A32" w:rsidP="00B5032F">
            <w:pPr>
              <w:rPr>
                <w:sz w:val="20"/>
                <w:szCs w:val="20"/>
              </w:rPr>
            </w:pPr>
            <w:r>
              <w:rPr>
                <w:sz w:val="20"/>
                <w:szCs w:val="20"/>
              </w:rPr>
              <w:t>Q45</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9B335C"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0E46CF"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F4CBE" w14:textId="77777777" w:rsidR="00945A32" w:rsidRPr="00984F4A" w:rsidRDefault="00945A32" w:rsidP="00B5032F">
            <w:pPr>
              <w:rPr>
                <w:sz w:val="20"/>
                <w:szCs w:val="20"/>
              </w:rPr>
            </w:pPr>
            <w:r w:rsidRPr="00984F4A">
              <w:rPr>
                <w:sz w:val="20"/>
                <w:szCs w:val="20"/>
              </w:rPr>
              <w:t xml:space="preserve">How many FSA participants are enrolled in BOTH a HCFSA/DCA or LPFSA/DCA? We ask because we only charge one fee for a member </w:t>
            </w:r>
            <w:r w:rsidRPr="00984F4A">
              <w:rPr>
                <w:sz w:val="20"/>
                <w:szCs w:val="20"/>
              </w:rPr>
              <w:lastRenderedPageBreak/>
              <w:t>enrolled in two FSA accounts.</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EFCAD3" w14:textId="77777777" w:rsidR="00945A32" w:rsidRPr="00D9013D" w:rsidRDefault="00945A32" w:rsidP="00B5032F">
            <w:pPr>
              <w:rPr>
                <w:color w:val="000000" w:themeColor="text1"/>
                <w:sz w:val="20"/>
                <w:szCs w:val="20"/>
              </w:rPr>
            </w:pPr>
            <w:r w:rsidRPr="00D9013D">
              <w:rPr>
                <w:color w:val="000000" w:themeColor="text1"/>
                <w:sz w:val="20"/>
                <w:szCs w:val="20"/>
              </w:rPr>
              <w:lastRenderedPageBreak/>
              <w:t xml:space="preserve">Unique members that enrolled in both accounts as of June 2024:  </w:t>
            </w:r>
          </w:p>
          <w:p w14:paraId="2944C42A" w14:textId="77777777" w:rsidR="00945A32" w:rsidRPr="00D9013D" w:rsidRDefault="00945A32" w:rsidP="00B5032F">
            <w:pPr>
              <w:spacing w:line="252" w:lineRule="auto"/>
              <w:rPr>
                <w:color w:val="000000" w:themeColor="text1"/>
                <w:sz w:val="20"/>
                <w:szCs w:val="20"/>
              </w:rPr>
            </w:pPr>
            <w:r w:rsidRPr="00D9013D">
              <w:rPr>
                <w:color w:val="000000" w:themeColor="text1"/>
                <w:sz w:val="20"/>
                <w:szCs w:val="20"/>
              </w:rPr>
              <w:t>HCFSA/DCA: 1,516</w:t>
            </w:r>
          </w:p>
          <w:p w14:paraId="4E264BFC" w14:textId="77777777" w:rsidR="00945A32" w:rsidRPr="00984F4A" w:rsidRDefault="00945A32" w:rsidP="00B5032F">
            <w:pPr>
              <w:spacing w:line="252" w:lineRule="auto"/>
              <w:rPr>
                <w:sz w:val="20"/>
                <w:szCs w:val="20"/>
              </w:rPr>
            </w:pPr>
            <w:r w:rsidRPr="00D9013D">
              <w:rPr>
                <w:color w:val="000000" w:themeColor="text1"/>
                <w:sz w:val="20"/>
                <w:szCs w:val="20"/>
              </w:rPr>
              <w:t>LPFSA/DCA: 133</w:t>
            </w:r>
          </w:p>
        </w:tc>
      </w:tr>
      <w:tr w:rsidR="00B27F16" w14:paraId="565CFDEA"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3C93A4" w14:textId="77777777" w:rsidR="00945A32" w:rsidRPr="00D9013D" w:rsidRDefault="00945A32" w:rsidP="00B5032F">
            <w:pPr>
              <w:rPr>
                <w:sz w:val="20"/>
                <w:szCs w:val="20"/>
              </w:rPr>
            </w:pPr>
            <w:r>
              <w:rPr>
                <w:sz w:val="20"/>
                <w:szCs w:val="20"/>
              </w:rPr>
              <w:t>Q46</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CF8AD9B"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5B28E188"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A611086" w14:textId="77777777" w:rsidR="00945A32" w:rsidRPr="00984F4A" w:rsidRDefault="00945A32" w:rsidP="00B5032F">
            <w:pPr>
              <w:rPr>
                <w:sz w:val="20"/>
                <w:szCs w:val="20"/>
              </w:rPr>
            </w:pPr>
            <w:r w:rsidRPr="00984F4A">
              <w:rPr>
                <w:sz w:val="20"/>
                <w:szCs w:val="20"/>
              </w:rPr>
              <w:t>What can be attributed to the decrease in FSA participation from January 2024 from December 2023?</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08C3B0A9" w14:textId="77777777" w:rsidR="00945A32" w:rsidRPr="00984F4A" w:rsidRDefault="00945A32" w:rsidP="00B5032F">
            <w:pPr>
              <w:rPr>
                <w:sz w:val="20"/>
                <w:szCs w:val="20"/>
              </w:rPr>
            </w:pPr>
            <w:r>
              <w:rPr>
                <w:sz w:val="20"/>
                <w:szCs w:val="20"/>
              </w:rPr>
              <w:t xml:space="preserve">December 2023 enrollment includes all enrollments throughout the entire year, including participant accounts with carryover balances from 2022 without a 2023 enrollment election. January 2024 enrollment only includes enrollment for January 2024 and does not include participant accounts with carryover balances from 2023 without a 2024 enrollment election. Participants with a carryover balance and no active election are not enrolled until after the runout period. </w:t>
            </w:r>
          </w:p>
        </w:tc>
      </w:tr>
      <w:tr w:rsidR="00B27F16" w14:paraId="75718FAA"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85CE87" w14:textId="77777777" w:rsidR="00945A32" w:rsidRPr="00D9013D" w:rsidRDefault="00945A32" w:rsidP="00B5032F">
            <w:pPr>
              <w:rPr>
                <w:sz w:val="20"/>
                <w:szCs w:val="20"/>
              </w:rPr>
            </w:pPr>
            <w:r>
              <w:rPr>
                <w:sz w:val="20"/>
                <w:szCs w:val="20"/>
              </w:rPr>
              <w:t>Q47</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0E6AF"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AEB904"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FCA872" w14:textId="77777777" w:rsidR="00945A32" w:rsidRPr="00984F4A" w:rsidRDefault="00945A32" w:rsidP="00B5032F">
            <w:pPr>
              <w:rPr>
                <w:sz w:val="20"/>
                <w:szCs w:val="20"/>
              </w:rPr>
            </w:pPr>
            <w:r w:rsidRPr="00984F4A">
              <w:rPr>
                <w:sz w:val="20"/>
                <w:szCs w:val="20"/>
              </w:rPr>
              <w:t>What can be attributed to the decrease in Commuter enrollments from January 2024 from December 2023, when commuter benefits are a month to month benefit?</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D6D6AA" w14:textId="77777777" w:rsidR="00945A32" w:rsidRPr="00D9013D" w:rsidRDefault="00945A32" w:rsidP="00B5032F">
            <w:pPr>
              <w:spacing w:after="60"/>
              <w:rPr>
                <w:sz w:val="20"/>
                <w:szCs w:val="20"/>
              </w:rPr>
            </w:pPr>
            <w:r w:rsidRPr="00D9013D">
              <w:rPr>
                <w:sz w:val="20"/>
                <w:szCs w:val="20"/>
              </w:rPr>
              <w:t xml:space="preserve">The 2024 participation number in the RFP is based on January 2024 enrollments only and does not include carryover accounts for Commuter programs. Carryover balances without an enrollment election were made available to members by April 15, 2024. </w:t>
            </w:r>
          </w:p>
          <w:p w14:paraId="4AF5E28B" w14:textId="77777777" w:rsidR="00945A32" w:rsidRPr="00D9013D" w:rsidRDefault="00945A32" w:rsidP="00B5032F">
            <w:pPr>
              <w:spacing w:after="60"/>
              <w:rPr>
                <w:sz w:val="20"/>
                <w:szCs w:val="20"/>
              </w:rPr>
            </w:pPr>
            <w:r w:rsidRPr="00D9013D">
              <w:rPr>
                <w:sz w:val="20"/>
                <w:szCs w:val="20"/>
              </w:rPr>
              <w:t xml:space="preserve">Based on the May 2024 invoice, 691 participated in the Transit Account and 2,291 participated in the Parking Account. </w:t>
            </w:r>
          </w:p>
          <w:p w14:paraId="5600BD78" w14:textId="77777777" w:rsidR="00945A32" w:rsidRPr="00984F4A" w:rsidRDefault="00945A32" w:rsidP="00B5032F">
            <w:pPr>
              <w:rPr>
                <w:sz w:val="20"/>
                <w:szCs w:val="20"/>
              </w:rPr>
            </w:pPr>
            <w:r>
              <w:rPr>
                <w:sz w:val="20"/>
                <w:szCs w:val="20"/>
              </w:rPr>
              <w:t xml:space="preserve">The </w:t>
            </w:r>
            <w:r w:rsidRPr="00D9013D">
              <w:rPr>
                <w:sz w:val="20"/>
                <w:szCs w:val="20"/>
              </w:rPr>
              <w:t xml:space="preserve">State </w:t>
            </w:r>
            <w:r>
              <w:rPr>
                <w:sz w:val="20"/>
                <w:szCs w:val="20"/>
              </w:rPr>
              <w:t xml:space="preserve">Employers’ hybrid work model has attributed to the decrease in Commuter enrollments. </w:t>
            </w:r>
            <w:r w:rsidRPr="00D9013D">
              <w:rPr>
                <w:sz w:val="20"/>
                <w:szCs w:val="20"/>
              </w:rPr>
              <w:t xml:space="preserve">State </w:t>
            </w:r>
            <w:r>
              <w:rPr>
                <w:sz w:val="20"/>
                <w:szCs w:val="20"/>
              </w:rPr>
              <w:t>E</w:t>
            </w:r>
            <w:r w:rsidRPr="00D9013D">
              <w:rPr>
                <w:sz w:val="20"/>
                <w:szCs w:val="20"/>
              </w:rPr>
              <w:t xml:space="preserve">mployers continue to provide a hybrid model that allows employees to work from home and travel less frequently to work. </w:t>
            </w:r>
          </w:p>
        </w:tc>
      </w:tr>
      <w:tr w:rsidR="00B27F16" w14:paraId="70D929D3"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A15C41" w14:textId="77777777" w:rsidR="00945A32" w:rsidRPr="00D9013D" w:rsidRDefault="00945A32" w:rsidP="00B5032F">
            <w:pPr>
              <w:rPr>
                <w:sz w:val="20"/>
                <w:szCs w:val="20"/>
              </w:rPr>
            </w:pPr>
            <w:r>
              <w:rPr>
                <w:sz w:val="20"/>
                <w:szCs w:val="20"/>
              </w:rPr>
              <w:t>Q48</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95CE7E0"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2C387A68"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DBCAF31" w14:textId="77777777" w:rsidR="00945A32" w:rsidRPr="00984F4A" w:rsidRDefault="00945A32" w:rsidP="00B5032F">
            <w:pPr>
              <w:rPr>
                <w:sz w:val="20"/>
                <w:szCs w:val="20"/>
              </w:rPr>
            </w:pPr>
            <w:r w:rsidRPr="00984F4A">
              <w:rPr>
                <w:sz w:val="20"/>
                <w:szCs w:val="20"/>
              </w:rPr>
              <w:t xml:space="preserve">What are today’s fees for all products? </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1A99A240" w14:textId="77777777" w:rsidR="00945A32" w:rsidRPr="00D9013D" w:rsidRDefault="00945A32" w:rsidP="00B5032F">
            <w:pPr>
              <w:pStyle w:val="ListParagraph"/>
              <w:ind w:left="0"/>
              <w:rPr>
                <w:rFonts w:ascii="Arial" w:hAnsi="Arial" w:cs="Arial"/>
                <w:kern w:val="2"/>
                <w:sz w:val="20"/>
                <w:szCs w:val="20"/>
              </w:rPr>
            </w:pPr>
            <w:r w:rsidRPr="00D9013D">
              <w:rPr>
                <w:rFonts w:ascii="Arial" w:hAnsi="Arial" w:cs="Arial"/>
                <w:kern w:val="2"/>
                <w:sz w:val="20"/>
                <w:szCs w:val="20"/>
              </w:rPr>
              <w:t xml:space="preserve">See the response to Q26. </w:t>
            </w:r>
          </w:p>
          <w:p w14:paraId="12F2349D" w14:textId="77777777" w:rsidR="00945A32" w:rsidRPr="00984F4A" w:rsidRDefault="00945A32" w:rsidP="00B5032F">
            <w:pPr>
              <w:rPr>
                <w:sz w:val="20"/>
                <w:szCs w:val="20"/>
              </w:rPr>
            </w:pPr>
          </w:p>
        </w:tc>
      </w:tr>
      <w:tr w:rsidR="00B27F16" w14:paraId="77BEA1BA"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2665BC" w14:textId="77777777" w:rsidR="00945A32" w:rsidRPr="00D9013D" w:rsidRDefault="00945A32" w:rsidP="00B5032F">
            <w:pPr>
              <w:rPr>
                <w:sz w:val="20"/>
                <w:szCs w:val="20"/>
              </w:rPr>
            </w:pPr>
            <w:r>
              <w:rPr>
                <w:sz w:val="20"/>
                <w:szCs w:val="20"/>
              </w:rPr>
              <w:t>Q49</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19AE4C"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405AA5"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E25F41" w14:textId="77777777" w:rsidR="00945A32" w:rsidRPr="00984F4A" w:rsidRDefault="00945A32" w:rsidP="00B5032F">
            <w:pPr>
              <w:rPr>
                <w:sz w:val="20"/>
                <w:szCs w:val="20"/>
              </w:rPr>
            </w:pPr>
            <w:r w:rsidRPr="00984F4A">
              <w:rPr>
                <w:sz w:val="20"/>
                <w:szCs w:val="20"/>
              </w:rPr>
              <w:t>Is there a bundled fee? For example, one fee for someone enrolled in HSA, LPFSA, DCA, and Commuter is only charged one administrative fee?</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6D2F5D" w14:textId="77777777" w:rsidR="00945A32" w:rsidRPr="00D9013D" w:rsidRDefault="00945A32" w:rsidP="00B5032F">
            <w:pPr>
              <w:rPr>
                <w:b/>
                <w:i/>
                <w:sz w:val="20"/>
                <w:szCs w:val="20"/>
              </w:rPr>
            </w:pPr>
            <w:r w:rsidRPr="00D9013D">
              <w:rPr>
                <w:sz w:val="20"/>
                <w:szCs w:val="20"/>
              </w:rPr>
              <w:t xml:space="preserve">The Administrative fees are based on a per-participant-per-benefit-per-month (PPPBPM) fee, not a bundled fee. </w:t>
            </w:r>
          </w:p>
        </w:tc>
      </w:tr>
      <w:tr w:rsidR="00B27F16" w14:paraId="26E4404C"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4F5D72" w14:textId="77777777" w:rsidR="00945A32" w:rsidRPr="00D9013D" w:rsidRDefault="00945A32" w:rsidP="00B5032F">
            <w:pPr>
              <w:rPr>
                <w:sz w:val="20"/>
                <w:szCs w:val="20"/>
              </w:rPr>
            </w:pPr>
            <w:r>
              <w:rPr>
                <w:sz w:val="20"/>
                <w:szCs w:val="20"/>
              </w:rPr>
              <w:t>Q50</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C0D3F9"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0290F770"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E714075" w14:textId="77777777" w:rsidR="00945A32" w:rsidRPr="00984F4A" w:rsidRDefault="00945A32" w:rsidP="00B5032F">
            <w:pPr>
              <w:rPr>
                <w:sz w:val="20"/>
                <w:szCs w:val="20"/>
              </w:rPr>
            </w:pPr>
            <w:r w:rsidRPr="00984F4A">
              <w:rPr>
                <w:sz w:val="20"/>
                <w:szCs w:val="20"/>
              </w:rPr>
              <w:t>Is the service experience 24/7 today?</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29C287E6" w14:textId="77777777" w:rsidR="00945A32" w:rsidRPr="00984F4A" w:rsidRDefault="00945A32" w:rsidP="00B5032F">
            <w:pPr>
              <w:rPr>
                <w:sz w:val="20"/>
                <w:szCs w:val="20"/>
              </w:rPr>
            </w:pPr>
            <w:r w:rsidRPr="00D9013D">
              <w:rPr>
                <w:sz w:val="20"/>
                <w:szCs w:val="20"/>
              </w:rPr>
              <w:t xml:space="preserve">Yes. </w:t>
            </w:r>
          </w:p>
        </w:tc>
      </w:tr>
      <w:tr w:rsidR="00B27F16" w14:paraId="3445A430"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8370DD" w14:textId="77777777" w:rsidR="00945A32" w:rsidRPr="00D9013D" w:rsidRDefault="00945A32" w:rsidP="00B5032F">
            <w:pPr>
              <w:rPr>
                <w:sz w:val="20"/>
                <w:szCs w:val="20"/>
              </w:rPr>
            </w:pPr>
            <w:r>
              <w:rPr>
                <w:sz w:val="20"/>
                <w:szCs w:val="20"/>
              </w:rPr>
              <w:t>Q51</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8D8C2D" w14:textId="77777777" w:rsidR="00945A32" w:rsidRPr="00984F4A" w:rsidRDefault="00945A32" w:rsidP="00B5032F">
            <w:pPr>
              <w:rPr>
                <w:sz w:val="20"/>
                <w:szCs w:val="20"/>
              </w:rPr>
            </w:pPr>
            <w:r w:rsidRPr="00D9013D">
              <w:rPr>
                <w:color w:val="000000"/>
                <w:sz w:val="20"/>
                <w:szCs w:val="20"/>
              </w:rPr>
              <w:t>RFP Form B item 4.1:</w:t>
            </w:r>
            <w:r w:rsidRPr="00D9013D">
              <w:rPr>
                <w:sz w:val="20"/>
                <w:szCs w:val="20"/>
              </w:rPr>
              <w:t xml:space="preserve"> If awarded a Contract, </w:t>
            </w:r>
            <w:r w:rsidRPr="00D9013D">
              <w:rPr>
                <w:sz w:val="20"/>
                <w:szCs w:val="20"/>
              </w:rPr>
              <w:lastRenderedPageBreak/>
              <w:t>the Services provided by the Proposer to the Department under the Contract will be performed within the United States.</w:t>
            </w: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47758A" w14:textId="77777777" w:rsidR="00945A32" w:rsidRPr="00984F4A" w:rsidRDefault="00945A32" w:rsidP="00B5032F">
            <w:pPr>
              <w:rPr>
                <w:sz w:val="20"/>
                <w:szCs w:val="20"/>
              </w:rPr>
            </w:pPr>
            <w:r w:rsidRPr="00984F4A">
              <w:rPr>
                <w:sz w:val="20"/>
                <w:szCs w:val="20"/>
              </w:rPr>
              <w:lastRenderedPageBreak/>
              <w:t>Page 1</w:t>
            </w: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374E4C8" w14:textId="77777777" w:rsidR="00945A32" w:rsidRPr="00984F4A" w:rsidRDefault="00945A32" w:rsidP="00B5032F">
            <w:pPr>
              <w:rPr>
                <w:sz w:val="20"/>
                <w:szCs w:val="20"/>
              </w:rPr>
            </w:pPr>
            <w:r w:rsidRPr="00984F4A">
              <w:rPr>
                <w:sz w:val="20"/>
                <w:szCs w:val="20"/>
              </w:rPr>
              <w:t xml:space="preserve">Please confirm we are interpreting correctly that </w:t>
            </w:r>
            <w:r w:rsidRPr="00984F4A">
              <w:rPr>
                <w:sz w:val="20"/>
                <w:szCs w:val="20"/>
              </w:rPr>
              <w:lastRenderedPageBreak/>
              <w:t>the Department has an onshore service only requirement.</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79A897" w14:textId="77777777" w:rsidR="00945A32" w:rsidRPr="00D9013D" w:rsidRDefault="00945A32" w:rsidP="00B5032F">
            <w:pPr>
              <w:pStyle w:val="ETFNormal"/>
              <w:spacing w:before="0" w:after="0"/>
              <w:jc w:val="left"/>
              <w:rPr>
                <w:sz w:val="20"/>
              </w:rPr>
            </w:pPr>
            <w:r w:rsidRPr="00D9013D">
              <w:rPr>
                <w:sz w:val="20"/>
              </w:rPr>
              <w:lastRenderedPageBreak/>
              <w:t xml:space="preserve">See the response to Q17. </w:t>
            </w:r>
          </w:p>
        </w:tc>
      </w:tr>
      <w:tr w:rsidR="00B27F16" w14:paraId="230B45BC"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B89EAD" w14:textId="77777777" w:rsidR="00945A32" w:rsidRPr="00D9013D" w:rsidRDefault="00945A32" w:rsidP="00B5032F">
            <w:pPr>
              <w:rPr>
                <w:sz w:val="20"/>
                <w:szCs w:val="20"/>
              </w:rPr>
            </w:pPr>
            <w:r>
              <w:rPr>
                <w:sz w:val="20"/>
                <w:szCs w:val="20"/>
              </w:rPr>
              <w:t>Q52</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BAC3980" w14:textId="77777777" w:rsidR="00945A32" w:rsidRPr="00984F4A" w:rsidRDefault="00945A32" w:rsidP="00B5032F">
            <w:pPr>
              <w:rPr>
                <w:sz w:val="20"/>
                <w:szCs w:val="20"/>
              </w:rPr>
            </w:pPr>
            <w:r w:rsidRPr="00984F4A">
              <w:rPr>
                <w:sz w:val="20"/>
                <w:szCs w:val="20"/>
              </w:rPr>
              <w:t xml:space="preserve">Form B </w:t>
            </w:r>
            <w:r>
              <w:rPr>
                <w:sz w:val="20"/>
                <w:szCs w:val="20"/>
              </w:rPr>
              <w:t>–</w:t>
            </w:r>
            <w:r w:rsidRPr="00D9013D">
              <w:rPr>
                <w:sz w:val="20"/>
                <w:szCs w:val="20"/>
              </w:rPr>
              <w:t xml:space="preserve"> </w:t>
            </w:r>
            <w:r w:rsidRPr="00984F4A">
              <w:rPr>
                <w:sz w:val="20"/>
                <w:szCs w:val="20"/>
              </w:rPr>
              <w:t>4.9</w:t>
            </w: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926B7A5" w14:textId="77777777" w:rsidR="00945A32" w:rsidRPr="00984F4A" w:rsidRDefault="00945A32" w:rsidP="00B5032F">
            <w:pPr>
              <w:rPr>
                <w:sz w:val="20"/>
                <w:szCs w:val="20"/>
              </w:rPr>
            </w:pPr>
            <w:r w:rsidRPr="00984F4A">
              <w:rPr>
                <w:sz w:val="20"/>
                <w:szCs w:val="20"/>
              </w:rPr>
              <w:t>Pg 2</w:t>
            </w: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D600E1B" w14:textId="77777777" w:rsidR="00945A32" w:rsidRPr="00984F4A" w:rsidRDefault="00945A32" w:rsidP="00B5032F">
            <w:pPr>
              <w:rPr>
                <w:sz w:val="20"/>
                <w:szCs w:val="20"/>
              </w:rPr>
            </w:pPr>
            <w:r w:rsidRPr="00984F4A">
              <w:rPr>
                <w:sz w:val="20"/>
                <w:szCs w:val="20"/>
              </w:rPr>
              <w:t>Please clarify who the Department will utilize for their Benefits Administrative platform. We read “My Insurance Benefits” who is supported by Oracle/PeopleSoft, however within Form B we understand the Department is implementing BenefitFocus.</w:t>
            </w:r>
            <w:r w:rsidRPr="00984F4A">
              <w:rPr>
                <w:color w:val="000000"/>
                <w:sz w:val="20"/>
                <w:szCs w:val="20"/>
              </w:rPr>
              <w:t xml:space="preserve"> Please confirm the integration would then occur with BenefitFocus, and if any integration would be needed with Oracle/Peoplesoft.</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290A017E" w14:textId="77777777" w:rsidR="00945A32" w:rsidRPr="00D9013D" w:rsidRDefault="00945A32" w:rsidP="00B5032F">
            <w:pPr>
              <w:pStyle w:val="ETFNormal"/>
              <w:spacing w:before="0" w:after="0"/>
              <w:jc w:val="left"/>
              <w:rPr>
                <w:sz w:val="20"/>
              </w:rPr>
            </w:pPr>
            <w:r w:rsidRPr="00D9013D">
              <w:rPr>
                <w:sz w:val="20"/>
              </w:rPr>
              <w:t xml:space="preserve">RFP Section 1.11.2 states: </w:t>
            </w:r>
          </w:p>
          <w:p w14:paraId="7FE816E3" w14:textId="77777777" w:rsidR="00945A32" w:rsidRPr="00D9013D" w:rsidRDefault="00945A32" w:rsidP="00B5032F">
            <w:pPr>
              <w:pStyle w:val="ETFNormal"/>
              <w:spacing w:before="0" w:after="60"/>
              <w:jc w:val="left"/>
              <w:rPr>
                <w:sz w:val="20"/>
              </w:rPr>
            </w:pPr>
            <w:r w:rsidRPr="00D9013D">
              <w:rPr>
                <w:sz w:val="20"/>
              </w:rPr>
              <w:t xml:space="preserve">“When the Department’s IAS is implemented, Employees and Retirees will enroll for benefits using the IAS, via </w:t>
            </w:r>
            <w:r w:rsidRPr="00D9013D">
              <w:rPr>
                <w:b/>
                <w:bCs/>
                <w:sz w:val="20"/>
              </w:rPr>
              <w:t>My Insurance Benefits</w:t>
            </w:r>
            <w:r w:rsidRPr="00D9013D">
              <w:rPr>
                <w:sz w:val="20"/>
              </w:rPr>
              <w:t xml:space="preserve"> during the Open Enrollment Period. Enrollment files will be transmitted between the Department’s IAS vendor and the Contractor. Even after the IAS is implemented, the Contractor must be able to provide, accept, and process paper enrollments.” </w:t>
            </w:r>
          </w:p>
          <w:p w14:paraId="05C2F3AF" w14:textId="77777777" w:rsidR="00945A32" w:rsidRPr="00D9013D" w:rsidRDefault="00945A32" w:rsidP="00B5032F">
            <w:pPr>
              <w:pStyle w:val="ETFNormal"/>
              <w:spacing w:before="0" w:after="0"/>
              <w:jc w:val="left"/>
              <w:rPr>
                <w:sz w:val="20"/>
              </w:rPr>
            </w:pPr>
            <w:r w:rsidRPr="00D9013D">
              <w:rPr>
                <w:b/>
                <w:bCs/>
                <w:sz w:val="20"/>
              </w:rPr>
              <w:t>My Insurance Benefits</w:t>
            </w:r>
            <w:r w:rsidRPr="00D9013D">
              <w:rPr>
                <w:sz w:val="20"/>
              </w:rPr>
              <w:t xml:space="preserve"> refers to the State’s gateway for benefits enrollment, not a third-party system. The Department will use the benefits administration system from Benefitfocus, therefore, integration would occur with Benefitfocus. </w:t>
            </w:r>
          </w:p>
        </w:tc>
      </w:tr>
      <w:tr w:rsidR="00B27F16" w14:paraId="71630D92"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7F09E1" w14:textId="77777777" w:rsidR="00945A32" w:rsidRPr="00D9013D" w:rsidRDefault="00945A32" w:rsidP="00B5032F">
            <w:pPr>
              <w:rPr>
                <w:sz w:val="20"/>
                <w:szCs w:val="20"/>
              </w:rPr>
            </w:pPr>
            <w:r>
              <w:rPr>
                <w:sz w:val="20"/>
                <w:szCs w:val="20"/>
              </w:rPr>
              <w:t>Q53</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AAA247"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2057B5"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D1AA66" w14:textId="77777777" w:rsidR="00945A32" w:rsidRPr="00984F4A" w:rsidRDefault="00945A32" w:rsidP="00B5032F">
            <w:pPr>
              <w:rPr>
                <w:sz w:val="20"/>
                <w:szCs w:val="20"/>
              </w:rPr>
            </w:pPr>
            <w:r w:rsidRPr="00984F4A">
              <w:rPr>
                <w:sz w:val="20"/>
                <w:szCs w:val="20"/>
              </w:rPr>
              <w:t>Would BenefitFocus also be who we receive payroll/contribution data from? Or, who would the payroll provider be?</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82D741" w14:textId="77777777" w:rsidR="00945A32" w:rsidRPr="00D9013D" w:rsidRDefault="00945A32" w:rsidP="00B5032F">
            <w:pPr>
              <w:spacing w:after="60"/>
              <w:rPr>
                <w:sz w:val="20"/>
                <w:szCs w:val="20"/>
              </w:rPr>
            </w:pPr>
            <w:r>
              <w:rPr>
                <w:sz w:val="20"/>
                <w:szCs w:val="20"/>
              </w:rPr>
              <w:t xml:space="preserve">The Payroll Centers will provide the contribution data file for all </w:t>
            </w:r>
            <w:r w:rsidDel="00524142">
              <w:rPr>
                <w:sz w:val="20"/>
                <w:szCs w:val="20"/>
              </w:rPr>
              <w:t xml:space="preserve">pre-tax </w:t>
            </w:r>
            <w:r>
              <w:rPr>
                <w:sz w:val="20"/>
                <w:szCs w:val="20"/>
              </w:rPr>
              <w:t>Benefit P</w:t>
            </w:r>
            <w:r w:rsidRPr="00D9013D">
              <w:rPr>
                <w:sz w:val="20"/>
                <w:szCs w:val="20"/>
              </w:rPr>
              <w:t>rograms</w:t>
            </w:r>
            <w:r>
              <w:rPr>
                <w:sz w:val="20"/>
                <w:szCs w:val="20"/>
              </w:rPr>
              <w:t xml:space="preserve">. </w:t>
            </w:r>
          </w:p>
          <w:p w14:paraId="4E88CE66" w14:textId="77777777" w:rsidR="00945A32" w:rsidRPr="00984F4A" w:rsidRDefault="00945A32" w:rsidP="00B5032F">
            <w:pPr>
              <w:rPr>
                <w:sz w:val="20"/>
                <w:szCs w:val="20"/>
              </w:rPr>
            </w:pPr>
            <w:r w:rsidRPr="00D9013D">
              <w:rPr>
                <w:sz w:val="20"/>
                <w:szCs w:val="20"/>
              </w:rPr>
              <w:t xml:space="preserve">Census and enrollment data files will be provided by Benefitfocus. </w:t>
            </w:r>
          </w:p>
        </w:tc>
      </w:tr>
      <w:tr w:rsidR="00B27F16" w14:paraId="75ED5BDB"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0C972C" w14:textId="77777777" w:rsidR="00945A32" w:rsidRPr="00D9013D" w:rsidRDefault="00945A32" w:rsidP="00B5032F">
            <w:pPr>
              <w:rPr>
                <w:sz w:val="20"/>
                <w:szCs w:val="20"/>
              </w:rPr>
            </w:pPr>
            <w:r>
              <w:rPr>
                <w:sz w:val="20"/>
                <w:szCs w:val="20"/>
              </w:rPr>
              <w:t>Q54</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E1033A5"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4E9A37C7"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D5AB812" w14:textId="77777777" w:rsidR="00945A32" w:rsidRPr="00984F4A" w:rsidRDefault="00945A32" w:rsidP="00B5032F">
            <w:pPr>
              <w:rPr>
                <w:sz w:val="20"/>
                <w:szCs w:val="20"/>
              </w:rPr>
            </w:pPr>
            <w:r w:rsidRPr="00984F4A">
              <w:rPr>
                <w:sz w:val="20"/>
                <w:szCs w:val="20"/>
              </w:rPr>
              <w:t>Who are the Department’s medical, dental, and vision carriers?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6C5437CB" w14:textId="77777777" w:rsidR="00945A32" w:rsidRPr="00984F4A" w:rsidRDefault="00945A32" w:rsidP="00B5032F">
            <w:pPr>
              <w:rPr>
                <w:sz w:val="20"/>
                <w:szCs w:val="20"/>
              </w:rPr>
            </w:pPr>
            <w:r w:rsidRPr="00D9013D">
              <w:rPr>
                <w:sz w:val="20"/>
                <w:szCs w:val="20"/>
              </w:rPr>
              <w:t xml:space="preserve">See </w:t>
            </w:r>
            <w:hyperlink r:id="rId13" w:history="1">
              <w:r w:rsidRPr="00D9013D">
                <w:rPr>
                  <w:rStyle w:val="Hyperlink"/>
                  <w:sz w:val="20"/>
                  <w:szCs w:val="20"/>
                </w:rPr>
                <w:t>https://etf.wi.gov/insurance/health-plan-and-vendor-contact-information</w:t>
              </w:r>
            </w:hyperlink>
            <w:r w:rsidRPr="00D9013D">
              <w:rPr>
                <w:sz w:val="20"/>
                <w:szCs w:val="20"/>
              </w:rPr>
              <w:t xml:space="preserve"> for the Department’s medical, dental, and vision carriers.</w:t>
            </w:r>
          </w:p>
        </w:tc>
      </w:tr>
      <w:tr w:rsidR="00B27F16" w14:paraId="12B24731"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E9DD2A" w14:textId="77777777" w:rsidR="00945A32" w:rsidRPr="00D9013D" w:rsidRDefault="00945A32" w:rsidP="00B5032F">
            <w:pPr>
              <w:rPr>
                <w:sz w:val="20"/>
                <w:szCs w:val="20"/>
              </w:rPr>
            </w:pPr>
            <w:r>
              <w:rPr>
                <w:sz w:val="20"/>
                <w:szCs w:val="20"/>
              </w:rPr>
              <w:t>Q55</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D670CA"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B20219"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0757B8" w14:textId="77777777" w:rsidR="00945A32" w:rsidRPr="00984F4A" w:rsidRDefault="00945A32" w:rsidP="00B5032F">
            <w:pPr>
              <w:rPr>
                <w:sz w:val="20"/>
                <w:szCs w:val="20"/>
              </w:rPr>
            </w:pPr>
            <w:r w:rsidRPr="00984F4A">
              <w:rPr>
                <w:sz w:val="20"/>
                <w:szCs w:val="20"/>
              </w:rPr>
              <w:t>Are there any anticipated marketings or changes with the medical carrier(s) or file vendors?</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BCF121" w14:textId="77777777" w:rsidR="00945A32" w:rsidRPr="00D9013D" w:rsidRDefault="00945A32" w:rsidP="00B5032F">
            <w:pPr>
              <w:spacing w:after="60"/>
              <w:rPr>
                <w:sz w:val="20"/>
                <w:szCs w:val="20"/>
              </w:rPr>
            </w:pPr>
            <w:r w:rsidRPr="00D9013D">
              <w:rPr>
                <w:sz w:val="20"/>
                <w:szCs w:val="20"/>
              </w:rPr>
              <w:t xml:space="preserve">We are unsure what information the vendor is trying to ascertain with this question.  </w:t>
            </w:r>
          </w:p>
          <w:p w14:paraId="377B5D2D" w14:textId="77777777" w:rsidR="00945A32" w:rsidRPr="00984F4A" w:rsidRDefault="00945A32" w:rsidP="00B5032F">
            <w:pPr>
              <w:rPr>
                <w:sz w:val="20"/>
                <w:szCs w:val="20"/>
              </w:rPr>
            </w:pPr>
            <w:r w:rsidRPr="00D9013D">
              <w:rPr>
                <w:sz w:val="20"/>
                <w:szCs w:val="20"/>
              </w:rPr>
              <w:t xml:space="preserve">State of Wisconsin Group Health Insurance Program (GHIP) health plan contracts (except Medicare plans) are for a term of one year. Health plans may apply on an annual basis to become part of the GHIP; and health plans may choose to not renew a contract. The Department currently has active RFPs for Medicare Advantage, Medicare Plus, and Pharmacy, with planned contract </w:t>
            </w:r>
            <w:r w:rsidRPr="00D9013D">
              <w:rPr>
                <w:sz w:val="20"/>
                <w:szCs w:val="20"/>
              </w:rPr>
              <w:lastRenderedPageBreak/>
              <w:t>start dates of 1/1/2026; these contracts will be for terms longer than one year.</w:t>
            </w:r>
          </w:p>
        </w:tc>
      </w:tr>
      <w:tr w:rsidR="00B27F16" w14:paraId="344551A8"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61CCFC" w14:textId="77777777" w:rsidR="00945A32" w:rsidRPr="00D9013D" w:rsidRDefault="00945A32" w:rsidP="00B5032F">
            <w:pPr>
              <w:rPr>
                <w:sz w:val="20"/>
                <w:szCs w:val="20"/>
              </w:rPr>
            </w:pPr>
            <w:r>
              <w:rPr>
                <w:sz w:val="20"/>
                <w:szCs w:val="20"/>
              </w:rPr>
              <w:lastRenderedPageBreak/>
              <w:t>Q56</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F01C381"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71B5EB2D"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B0C09D7" w14:textId="77777777" w:rsidR="00945A32" w:rsidRPr="00984F4A" w:rsidRDefault="00945A32" w:rsidP="00B5032F">
            <w:pPr>
              <w:rPr>
                <w:sz w:val="20"/>
                <w:szCs w:val="20"/>
              </w:rPr>
            </w:pPr>
            <w:r w:rsidRPr="00984F4A">
              <w:rPr>
                <w:sz w:val="20"/>
                <w:szCs w:val="20"/>
              </w:rPr>
              <w:t>Are there files between the carriers and the incumbent today to support FSA auto-claim-adjudication today?</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47E27DE8" w14:textId="77777777" w:rsidR="00945A32" w:rsidRPr="00D9013D" w:rsidRDefault="00945A32" w:rsidP="00B5032F">
            <w:pPr>
              <w:rPr>
                <w:sz w:val="20"/>
                <w:szCs w:val="20"/>
              </w:rPr>
            </w:pPr>
            <w:r w:rsidRPr="00D9013D">
              <w:rPr>
                <w:sz w:val="20"/>
                <w:szCs w:val="20"/>
              </w:rPr>
              <w:t>No, there are no claim files exchanged between the health carriers and the current FSA administrator.</w:t>
            </w:r>
          </w:p>
          <w:p w14:paraId="57051069" w14:textId="77777777" w:rsidR="00945A32" w:rsidRPr="00D9013D" w:rsidRDefault="00945A32" w:rsidP="00B5032F">
            <w:pPr>
              <w:rPr>
                <w:sz w:val="20"/>
                <w:szCs w:val="20"/>
              </w:rPr>
            </w:pPr>
          </w:p>
          <w:p w14:paraId="785371E5" w14:textId="77777777" w:rsidR="00945A32" w:rsidRPr="00984F4A" w:rsidRDefault="00945A32" w:rsidP="00B5032F">
            <w:pPr>
              <w:rPr>
                <w:sz w:val="20"/>
                <w:szCs w:val="20"/>
              </w:rPr>
            </w:pPr>
            <w:r w:rsidRPr="00D9013D">
              <w:rPr>
                <w:sz w:val="20"/>
                <w:szCs w:val="20"/>
              </w:rPr>
              <w:t xml:space="preserve">The Department does not allow the carriers to provide data for FSA auto claim-adjudication.  </w:t>
            </w:r>
          </w:p>
        </w:tc>
      </w:tr>
      <w:tr w:rsidR="00B27F16" w14:paraId="0DEE01EC"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25A706C" w14:textId="77777777" w:rsidR="00945A32" w:rsidRPr="00D9013D" w:rsidRDefault="00945A32" w:rsidP="00B5032F">
            <w:pPr>
              <w:rPr>
                <w:sz w:val="20"/>
                <w:szCs w:val="20"/>
              </w:rPr>
            </w:pPr>
            <w:r>
              <w:rPr>
                <w:sz w:val="20"/>
                <w:szCs w:val="20"/>
              </w:rPr>
              <w:t>Q57</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97C9A2"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1F22FE"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8E4DA1" w14:textId="77777777" w:rsidR="00945A32" w:rsidRPr="00984F4A" w:rsidRDefault="00945A32" w:rsidP="00B5032F">
            <w:pPr>
              <w:rPr>
                <w:sz w:val="20"/>
                <w:szCs w:val="20"/>
              </w:rPr>
            </w:pPr>
            <w:r w:rsidRPr="00984F4A">
              <w:rPr>
                <w:sz w:val="20"/>
                <w:szCs w:val="20"/>
              </w:rPr>
              <w:t>Are there files between the carriers and the incumbent today to support HSA auto-claim-filing into the participant’s dashboard?</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44EDC8" w14:textId="77777777" w:rsidR="00945A32" w:rsidRPr="00D9013D" w:rsidRDefault="00945A32" w:rsidP="00B5032F">
            <w:pPr>
              <w:spacing w:after="60"/>
              <w:rPr>
                <w:sz w:val="20"/>
                <w:szCs w:val="20"/>
              </w:rPr>
            </w:pPr>
            <w:r w:rsidRPr="00D9013D">
              <w:rPr>
                <w:sz w:val="20"/>
                <w:szCs w:val="20"/>
              </w:rPr>
              <w:t>No, there are no claim files exchanged between the health carriers and the current HSA administrator.</w:t>
            </w:r>
          </w:p>
          <w:p w14:paraId="3662F8C2" w14:textId="77777777" w:rsidR="00945A32" w:rsidRPr="00984F4A" w:rsidRDefault="00945A32" w:rsidP="00B5032F">
            <w:pPr>
              <w:rPr>
                <w:sz w:val="20"/>
                <w:szCs w:val="20"/>
              </w:rPr>
            </w:pPr>
            <w:r w:rsidRPr="00D9013D">
              <w:rPr>
                <w:sz w:val="20"/>
                <w:szCs w:val="20"/>
              </w:rPr>
              <w:t xml:space="preserve">The Department does not allow the carriers to provide data for HSA auto claim-adjudication.  </w:t>
            </w:r>
          </w:p>
        </w:tc>
      </w:tr>
      <w:tr w:rsidR="00B27F16" w14:paraId="39AE8D2B"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CC6D3C" w14:textId="77777777" w:rsidR="00945A32" w:rsidRPr="00D9013D" w:rsidRDefault="00945A32" w:rsidP="00B5032F">
            <w:pPr>
              <w:rPr>
                <w:sz w:val="20"/>
                <w:szCs w:val="20"/>
              </w:rPr>
            </w:pPr>
            <w:r>
              <w:rPr>
                <w:sz w:val="20"/>
                <w:szCs w:val="20"/>
              </w:rPr>
              <w:t>Q58</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38780F9"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006B92C6"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9EA5FE4" w14:textId="77777777" w:rsidR="00945A32" w:rsidRPr="00984F4A" w:rsidRDefault="00945A32" w:rsidP="00B5032F">
            <w:pPr>
              <w:rPr>
                <w:sz w:val="20"/>
                <w:szCs w:val="20"/>
              </w:rPr>
            </w:pPr>
            <w:r w:rsidRPr="00984F4A">
              <w:rPr>
                <w:sz w:val="20"/>
                <w:szCs w:val="20"/>
              </w:rPr>
              <w:t>How are claims and contributions funded today? ACH, a reserve account of funds held by the incumbent, etc. What is the timing of funding?</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6F6D7CE0" w14:textId="77777777" w:rsidR="00945A32" w:rsidRPr="00D9013D" w:rsidRDefault="00945A32" w:rsidP="00B5032F">
            <w:pPr>
              <w:spacing w:after="60"/>
              <w:rPr>
                <w:sz w:val="20"/>
                <w:szCs w:val="20"/>
              </w:rPr>
            </w:pPr>
            <w:r w:rsidRPr="00D9013D">
              <w:rPr>
                <w:sz w:val="20"/>
                <w:szCs w:val="20"/>
              </w:rPr>
              <w:t xml:space="preserve">The Department provides advance funding through ACH to the incumbent for claims to be paid out. The advance funding is provided before the start of the plan year. </w:t>
            </w:r>
          </w:p>
          <w:p w14:paraId="565C9AE1" w14:textId="77777777" w:rsidR="00945A32" w:rsidRPr="00984F4A" w:rsidRDefault="00945A32" w:rsidP="00B5032F">
            <w:pPr>
              <w:rPr>
                <w:sz w:val="20"/>
                <w:szCs w:val="20"/>
              </w:rPr>
            </w:pPr>
            <w:r w:rsidRPr="00D9013D">
              <w:rPr>
                <w:sz w:val="20"/>
                <w:szCs w:val="20"/>
              </w:rPr>
              <w:t>See RFP Appendix 7 Section 135A.</w:t>
            </w:r>
          </w:p>
        </w:tc>
      </w:tr>
      <w:tr w:rsidR="00B27F16" w14:paraId="7C52F212"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6A85E1" w14:textId="77777777" w:rsidR="00945A32" w:rsidRPr="00D9013D" w:rsidRDefault="00945A32" w:rsidP="00B5032F">
            <w:pPr>
              <w:rPr>
                <w:sz w:val="20"/>
                <w:szCs w:val="20"/>
              </w:rPr>
            </w:pPr>
            <w:r>
              <w:rPr>
                <w:sz w:val="20"/>
                <w:szCs w:val="20"/>
              </w:rPr>
              <w:t>Q59</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9F1215" w14:textId="77777777" w:rsidR="00945A32" w:rsidRPr="00984F4A" w:rsidRDefault="00945A32" w:rsidP="00B5032F">
            <w:pPr>
              <w:rPr>
                <w:sz w:val="20"/>
                <w:szCs w:val="20"/>
              </w:rPr>
            </w:pPr>
            <w:r w:rsidRPr="00D9013D">
              <w:rPr>
                <w:sz w:val="20"/>
                <w:szCs w:val="20"/>
              </w:rPr>
              <w:t>RFP</w:t>
            </w: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858785" w14:textId="77777777" w:rsidR="00945A32" w:rsidRPr="00984F4A" w:rsidRDefault="00945A32" w:rsidP="00B5032F">
            <w:pPr>
              <w:rPr>
                <w:sz w:val="20"/>
                <w:szCs w:val="20"/>
              </w:rPr>
            </w:pPr>
            <w:r w:rsidRPr="00984F4A">
              <w:rPr>
                <w:sz w:val="20"/>
                <w:szCs w:val="20"/>
              </w:rPr>
              <w:t>Pg 9</w:t>
            </w: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ACD5A0" w14:textId="77777777" w:rsidR="00945A32" w:rsidRPr="00984F4A" w:rsidRDefault="00945A32" w:rsidP="00B5032F">
            <w:pPr>
              <w:rPr>
                <w:sz w:val="20"/>
                <w:szCs w:val="20"/>
              </w:rPr>
            </w:pPr>
            <w:r w:rsidRPr="00984F4A">
              <w:rPr>
                <w:sz w:val="20"/>
                <w:szCs w:val="20"/>
              </w:rPr>
              <w:t>For Open Enrollment, how many days and locations are OE sessions held (on average)?</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8C52F0" w14:textId="77777777" w:rsidR="00945A32" w:rsidRPr="00D9013D" w:rsidRDefault="00945A32" w:rsidP="00B5032F">
            <w:pPr>
              <w:spacing w:after="60"/>
              <w:rPr>
                <w:sz w:val="20"/>
                <w:szCs w:val="20"/>
              </w:rPr>
            </w:pPr>
            <w:r w:rsidRPr="00D9013D">
              <w:rPr>
                <w:sz w:val="20"/>
                <w:szCs w:val="20"/>
              </w:rPr>
              <w:t xml:space="preserve">For 2024 Open Enrollment: there were 15 onsite locations across Wisconsin that requested the vendor to attend; and the Department requested 3 virtual benefit fairs for members. </w:t>
            </w:r>
          </w:p>
          <w:p w14:paraId="725685AB" w14:textId="77777777" w:rsidR="00945A32" w:rsidRPr="00984F4A" w:rsidRDefault="00945A32" w:rsidP="00B5032F">
            <w:pPr>
              <w:rPr>
                <w:sz w:val="20"/>
                <w:szCs w:val="20"/>
              </w:rPr>
            </w:pPr>
            <w:r w:rsidRPr="00D9013D">
              <w:rPr>
                <w:sz w:val="20"/>
                <w:szCs w:val="20"/>
              </w:rPr>
              <w:t xml:space="preserve">Onsite or virtual benefit fairs can be requested at any time during the open enrollment period (with 30 day advanced notice). </w:t>
            </w:r>
          </w:p>
        </w:tc>
      </w:tr>
      <w:tr w:rsidR="00B27F16" w14:paraId="55F8850A"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1D8D9C" w14:textId="77777777" w:rsidR="00945A32" w:rsidRPr="00D9013D" w:rsidRDefault="00945A32" w:rsidP="00B5032F">
            <w:pPr>
              <w:rPr>
                <w:sz w:val="20"/>
                <w:szCs w:val="20"/>
              </w:rPr>
            </w:pPr>
            <w:r>
              <w:rPr>
                <w:sz w:val="20"/>
                <w:szCs w:val="20"/>
              </w:rPr>
              <w:t>Q60</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9CE50E5" w14:textId="77777777" w:rsidR="00945A32" w:rsidRPr="00984F4A" w:rsidRDefault="00945A32" w:rsidP="00B5032F">
            <w:pPr>
              <w:rPr>
                <w:sz w:val="20"/>
                <w:szCs w:val="20"/>
              </w:rPr>
            </w:pPr>
            <w:r w:rsidRPr="00D9013D">
              <w:rPr>
                <w:sz w:val="20"/>
                <w:szCs w:val="20"/>
              </w:rPr>
              <w:t>RFP</w:t>
            </w: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023602" w14:textId="77777777" w:rsidR="00945A32" w:rsidRPr="00984F4A" w:rsidRDefault="00945A32" w:rsidP="00B5032F">
            <w:pPr>
              <w:rPr>
                <w:sz w:val="20"/>
                <w:szCs w:val="20"/>
              </w:rPr>
            </w:pPr>
            <w:r w:rsidRPr="00984F4A">
              <w:rPr>
                <w:sz w:val="20"/>
                <w:szCs w:val="20"/>
              </w:rPr>
              <w:t>Pg 9</w:t>
            </w: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EDEDC3E" w14:textId="77777777" w:rsidR="00945A32" w:rsidRPr="00984F4A" w:rsidRDefault="00945A32" w:rsidP="00B5032F">
            <w:pPr>
              <w:rPr>
                <w:sz w:val="20"/>
                <w:szCs w:val="20"/>
              </w:rPr>
            </w:pPr>
            <w:r w:rsidRPr="00984F4A">
              <w:rPr>
                <w:sz w:val="20"/>
                <w:szCs w:val="20"/>
              </w:rPr>
              <w:t>Would OE materials need to be shipped to a single location to then be dispersed?</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56B4178E" w14:textId="77777777" w:rsidR="00945A32" w:rsidRPr="00984F4A" w:rsidRDefault="00945A32" w:rsidP="00B5032F">
            <w:pPr>
              <w:rPr>
                <w:sz w:val="20"/>
                <w:szCs w:val="20"/>
              </w:rPr>
            </w:pPr>
            <w:r w:rsidRPr="00D9013D">
              <w:rPr>
                <w:sz w:val="20"/>
                <w:szCs w:val="20"/>
              </w:rPr>
              <w:t>Open enrollment</w:t>
            </w:r>
            <w:r>
              <w:rPr>
                <w:sz w:val="20"/>
                <w:szCs w:val="20"/>
              </w:rPr>
              <w:t xml:space="preserve"> materials </w:t>
            </w:r>
            <w:r w:rsidRPr="00D9013D">
              <w:rPr>
                <w:sz w:val="20"/>
                <w:szCs w:val="20"/>
              </w:rPr>
              <w:t>must</w:t>
            </w:r>
            <w:r>
              <w:rPr>
                <w:sz w:val="20"/>
                <w:szCs w:val="20"/>
              </w:rPr>
              <w:t xml:space="preserve"> be shipped to areas across Wisconsin upon Employer request. </w:t>
            </w:r>
          </w:p>
        </w:tc>
      </w:tr>
      <w:tr w:rsidR="00B27F16" w14:paraId="412310A7"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14C466" w14:textId="77777777" w:rsidR="00945A32" w:rsidRPr="00D9013D" w:rsidRDefault="00945A32" w:rsidP="00B5032F">
            <w:pPr>
              <w:rPr>
                <w:sz w:val="20"/>
                <w:szCs w:val="20"/>
              </w:rPr>
            </w:pPr>
            <w:r>
              <w:rPr>
                <w:sz w:val="20"/>
                <w:szCs w:val="20"/>
              </w:rPr>
              <w:t>Q61</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BF48E2"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5BD90C"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A27E1F" w14:textId="77777777" w:rsidR="00945A32" w:rsidRPr="00984F4A" w:rsidRDefault="00945A32" w:rsidP="00B5032F">
            <w:pPr>
              <w:rPr>
                <w:sz w:val="20"/>
                <w:szCs w:val="20"/>
              </w:rPr>
            </w:pPr>
            <w:r w:rsidRPr="00984F4A">
              <w:rPr>
                <w:sz w:val="20"/>
                <w:szCs w:val="20"/>
              </w:rPr>
              <w:t>Does the Department have a cobranded debit card and online portal experience today?</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CD4028" w14:textId="77777777" w:rsidR="00945A32" w:rsidRPr="00984F4A" w:rsidRDefault="00945A32" w:rsidP="00B5032F">
            <w:pPr>
              <w:rPr>
                <w:sz w:val="20"/>
                <w:szCs w:val="20"/>
              </w:rPr>
            </w:pPr>
            <w:r>
              <w:rPr>
                <w:sz w:val="20"/>
                <w:szCs w:val="20"/>
              </w:rPr>
              <w:t xml:space="preserve">Yes, the debit card and microsite is </w:t>
            </w:r>
            <w:r w:rsidRPr="00D9013D">
              <w:rPr>
                <w:sz w:val="20"/>
                <w:szCs w:val="20"/>
              </w:rPr>
              <w:t>co-branded.</w:t>
            </w:r>
            <w:r>
              <w:rPr>
                <w:sz w:val="20"/>
                <w:szCs w:val="20"/>
              </w:rPr>
              <w:t xml:space="preserve"> The online portal is not </w:t>
            </w:r>
            <w:r w:rsidRPr="00D9013D">
              <w:rPr>
                <w:sz w:val="20"/>
                <w:szCs w:val="20"/>
              </w:rPr>
              <w:t xml:space="preserve">co-branded. </w:t>
            </w:r>
          </w:p>
        </w:tc>
      </w:tr>
      <w:tr w:rsidR="00B27F16" w14:paraId="6AA7EA04"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42B380" w14:textId="77777777" w:rsidR="00945A32" w:rsidRPr="00D9013D" w:rsidRDefault="00945A32" w:rsidP="00B5032F">
            <w:pPr>
              <w:rPr>
                <w:sz w:val="20"/>
                <w:szCs w:val="20"/>
              </w:rPr>
            </w:pPr>
            <w:r>
              <w:rPr>
                <w:sz w:val="20"/>
                <w:szCs w:val="20"/>
              </w:rPr>
              <w:t>Q62</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ED37BB"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3D7FA8B9"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57885FD" w14:textId="77777777" w:rsidR="00945A32" w:rsidRPr="00984F4A" w:rsidRDefault="00945A32" w:rsidP="00B5032F">
            <w:pPr>
              <w:rPr>
                <w:sz w:val="20"/>
                <w:szCs w:val="20"/>
              </w:rPr>
            </w:pPr>
            <w:r w:rsidRPr="00984F4A">
              <w:rPr>
                <w:sz w:val="20"/>
                <w:szCs w:val="20"/>
              </w:rPr>
              <w:t>Does the microsite support a SSO into the participant portal?</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5BB9315F" w14:textId="77777777" w:rsidR="00945A32" w:rsidRPr="00984F4A" w:rsidRDefault="00945A32" w:rsidP="00B5032F">
            <w:pPr>
              <w:rPr>
                <w:sz w:val="20"/>
                <w:szCs w:val="20"/>
              </w:rPr>
            </w:pPr>
            <w:r>
              <w:rPr>
                <w:sz w:val="20"/>
                <w:szCs w:val="20"/>
              </w:rPr>
              <w:t xml:space="preserve">The microsite supports SSO. However, the Department </w:t>
            </w:r>
            <w:r w:rsidRPr="00D9013D">
              <w:rPr>
                <w:sz w:val="20"/>
                <w:szCs w:val="20"/>
              </w:rPr>
              <w:t>does</w:t>
            </w:r>
            <w:r>
              <w:rPr>
                <w:sz w:val="20"/>
                <w:szCs w:val="20"/>
              </w:rPr>
              <w:t xml:space="preserve"> not </w:t>
            </w:r>
            <w:r w:rsidRPr="00D9013D">
              <w:rPr>
                <w:sz w:val="20"/>
                <w:szCs w:val="20"/>
              </w:rPr>
              <w:t>use</w:t>
            </w:r>
            <w:r>
              <w:rPr>
                <w:sz w:val="20"/>
                <w:szCs w:val="20"/>
              </w:rPr>
              <w:t xml:space="preserve"> SSO with </w:t>
            </w:r>
            <w:r w:rsidRPr="00D9013D">
              <w:rPr>
                <w:sz w:val="20"/>
                <w:szCs w:val="20"/>
              </w:rPr>
              <w:t>its</w:t>
            </w:r>
            <w:r>
              <w:rPr>
                <w:sz w:val="20"/>
                <w:szCs w:val="20"/>
              </w:rPr>
              <w:t xml:space="preserve"> microsite. </w:t>
            </w:r>
          </w:p>
        </w:tc>
      </w:tr>
      <w:tr w:rsidR="00B27F16" w14:paraId="1EEA29C9"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C999DB" w14:textId="77777777" w:rsidR="00945A32" w:rsidRPr="00D9013D" w:rsidRDefault="00945A32" w:rsidP="00B5032F">
            <w:pPr>
              <w:rPr>
                <w:sz w:val="20"/>
                <w:szCs w:val="20"/>
              </w:rPr>
            </w:pPr>
            <w:r>
              <w:rPr>
                <w:sz w:val="20"/>
                <w:szCs w:val="20"/>
              </w:rPr>
              <w:t>Q63</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2050CF"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C8DE67"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090105" w14:textId="77777777" w:rsidR="00945A32" w:rsidRPr="00984F4A" w:rsidRDefault="00945A32" w:rsidP="00B5032F">
            <w:pPr>
              <w:rPr>
                <w:sz w:val="20"/>
                <w:szCs w:val="20"/>
              </w:rPr>
            </w:pPr>
            <w:r w:rsidRPr="00984F4A">
              <w:rPr>
                <w:sz w:val="20"/>
                <w:szCs w:val="20"/>
              </w:rPr>
              <w:t xml:space="preserve">Is the microsite password protected or SSO’d to from an internal source (ben </w:t>
            </w:r>
            <w:r w:rsidRPr="00984F4A">
              <w:rPr>
                <w:sz w:val="20"/>
                <w:szCs w:val="20"/>
              </w:rPr>
              <w:lastRenderedPageBreak/>
              <w:t>admin platform, for example)?</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8C9FF" w14:textId="77777777" w:rsidR="00945A32" w:rsidRPr="00984F4A" w:rsidRDefault="00945A32" w:rsidP="00B5032F">
            <w:pPr>
              <w:rPr>
                <w:sz w:val="20"/>
                <w:szCs w:val="20"/>
              </w:rPr>
            </w:pPr>
            <w:r w:rsidRPr="00D9013D">
              <w:rPr>
                <w:sz w:val="20"/>
                <w:szCs w:val="20"/>
              </w:rPr>
              <w:lastRenderedPageBreak/>
              <w:t xml:space="preserve">The microsite password is protected through two-way multi-factor authentication but not SSO. </w:t>
            </w:r>
          </w:p>
        </w:tc>
      </w:tr>
      <w:tr w:rsidR="00B27F16" w14:paraId="6D883D19"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851B819" w14:textId="77777777" w:rsidR="00945A32" w:rsidRPr="00D9013D" w:rsidRDefault="00945A32" w:rsidP="00B5032F">
            <w:pPr>
              <w:rPr>
                <w:sz w:val="20"/>
                <w:szCs w:val="20"/>
              </w:rPr>
            </w:pPr>
            <w:r>
              <w:rPr>
                <w:sz w:val="20"/>
                <w:szCs w:val="20"/>
              </w:rPr>
              <w:t>Q64</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21053C7" w14:textId="77777777" w:rsidR="00945A32" w:rsidRPr="00984F4A" w:rsidRDefault="00945A32" w:rsidP="00B5032F">
            <w:pPr>
              <w:rPr>
                <w:sz w:val="20"/>
                <w:szCs w:val="20"/>
              </w:rPr>
            </w:pPr>
            <w:r w:rsidRPr="00D9013D">
              <w:rPr>
                <w:sz w:val="20"/>
                <w:szCs w:val="20"/>
              </w:rPr>
              <w:t>RFP</w:t>
            </w: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6AB1B7" w14:textId="77777777" w:rsidR="00945A32" w:rsidRDefault="00945A32" w:rsidP="00B5032F">
            <w:pPr>
              <w:rPr>
                <w:sz w:val="20"/>
                <w:szCs w:val="20"/>
              </w:rPr>
            </w:pPr>
            <w:r w:rsidRPr="00984F4A">
              <w:rPr>
                <w:sz w:val="20"/>
                <w:szCs w:val="20"/>
              </w:rPr>
              <w:t>Pg 9</w:t>
            </w:r>
          </w:p>
          <w:p w14:paraId="73308AB3" w14:textId="77777777" w:rsidR="00945A32" w:rsidRPr="00984F4A" w:rsidRDefault="00945A32" w:rsidP="00B5032F">
            <w:pPr>
              <w:rPr>
                <w:sz w:val="20"/>
                <w:szCs w:val="20"/>
              </w:rPr>
            </w:pPr>
            <w:r>
              <w:rPr>
                <w:sz w:val="20"/>
                <w:szCs w:val="20"/>
              </w:rPr>
              <w:t>1.10</w:t>
            </w: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845F156" w14:textId="77777777" w:rsidR="00945A32" w:rsidRPr="00984F4A" w:rsidRDefault="00945A32" w:rsidP="00B5032F">
            <w:pPr>
              <w:rPr>
                <w:sz w:val="20"/>
                <w:szCs w:val="20"/>
              </w:rPr>
            </w:pPr>
            <w:r w:rsidRPr="00984F4A">
              <w:rPr>
                <w:sz w:val="20"/>
                <w:szCs w:val="20"/>
              </w:rPr>
              <w:t>Please clarify what is sought in regard to “vendor is responsib</w:t>
            </w:r>
            <w:r>
              <w:rPr>
                <w:sz w:val="20"/>
                <w:szCs w:val="20"/>
              </w:rPr>
              <w:t>le</w:t>
            </w:r>
            <w:r w:rsidRPr="00984F4A">
              <w:rPr>
                <w:sz w:val="20"/>
                <w:szCs w:val="20"/>
              </w:rPr>
              <w:t xml:space="preserve"> for enrollment services.” Would the enrollments be managed on the Ben Admin platform with a file established with the selected vendor to gather enrollments, or is the Department seeking the selected vendor to offer an enrollment solution where participants enroll directly with the HSA/FSA/Commuter administrator?</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1E4830E8" w14:textId="77777777" w:rsidR="00945A32" w:rsidRPr="00D9013D" w:rsidRDefault="00945A32" w:rsidP="00B5032F">
            <w:pPr>
              <w:spacing w:after="60"/>
              <w:rPr>
                <w:sz w:val="20"/>
                <w:szCs w:val="20"/>
              </w:rPr>
            </w:pPr>
            <w:r w:rsidRPr="00D9013D">
              <w:rPr>
                <w:sz w:val="20"/>
                <w:szCs w:val="20"/>
              </w:rPr>
              <w:t>The Contractor must be able to receive enrollment</w:t>
            </w:r>
            <w:r>
              <w:rPr>
                <w:sz w:val="20"/>
                <w:szCs w:val="20"/>
              </w:rPr>
              <w:t xml:space="preserve"> files</w:t>
            </w:r>
            <w:r w:rsidRPr="00D9013D">
              <w:rPr>
                <w:sz w:val="20"/>
                <w:szCs w:val="20"/>
              </w:rPr>
              <w:t xml:space="preserve"> from third-party </w:t>
            </w:r>
            <w:r>
              <w:rPr>
                <w:sz w:val="20"/>
                <w:szCs w:val="20"/>
              </w:rPr>
              <w:t>benefit administrators</w:t>
            </w:r>
            <w:r w:rsidRPr="00D9013D">
              <w:rPr>
                <w:sz w:val="20"/>
                <w:szCs w:val="20"/>
              </w:rPr>
              <w:t xml:space="preserve"> and/or Payroll Centers to upload enrollment into the Contractor’s system. </w:t>
            </w:r>
          </w:p>
          <w:p w14:paraId="528904C1" w14:textId="77777777" w:rsidR="00945A32" w:rsidRPr="00984F4A" w:rsidRDefault="00945A32" w:rsidP="00B5032F">
            <w:pPr>
              <w:rPr>
                <w:sz w:val="20"/>
                <w:szCs w:val="20"/>
              </w:rPr>
            </w:pPr>
            <w:r w:rsidRPr="00D9013D">
              <w:rPr>
                <w:sz w:val="20"/>
                <w:szCs w:val="20"/>
              </w:rPr>
              <w:t xml:space="preserve">If Benefitfocus is not implemented by mid-2025, the Contractor must be able to provide an enrollment system for the benefits being offered and enroll participants directly. </w:t>
            </w:r>
            <w:r>
              <w:rPr>
                <w:sz w:val="20"/>
                <w:szCs w:val="20"/>
              </w:rPr>
              <w:t xml:space="preserve">The Contractor must also be able to accept enrollment files from Payroll Centers that have  their own enrollment system, and a paper enrollment application process for the Payroll Centers that do not have an enrollment system. 2 of the 9 Payroll Centers do not have a benefit enrollment system and may require paper enrollment and/or Contractor’s enrollment system. </w:t>
            </w:r>
            <w:r w:rsidDel="00422666">
              <w:rPr>
                <w:sz w:val="20"/>
                <w:szCs w:val="20"/>
              </w:rPr>
              <w:t xml:space="preserve"> </w:t>
            </w:r>
            <w:r>
              <w:rPr>
                <w:sz w:val="20"/>
                <w:szCs w:val="20"/>
              </w:rPr>
              <w:t xml:space="preserve"> </w:t>
            </w:r>
          </w:p>
        </w:tc>
      </w:tr>
      <w:tr w:rsidR="00B27F16" w14:paraId="5DCA1768"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9CD1E2" w14:textId="77777777" w:rsidR="00945A32" w:rsidRPr="00D9013D" w:rsidRDefault="00945A32" w:rsidP="00B5032F">
            <w:pPr>
              <w:rPr>
                <w:sz w:val="20"/>
                <w:szCs w:val="20"/>
              </w:rPr>
            </w:pPr>
            <w:r>
              <w:rPr>
                <w:sz w:val="20"/>
                <w:szCs w:val="20"/>
              </w:rPr>
              <w:t>Q65</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2C90DD"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BE25E2"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C02067" w14:textId="77777777" w:rsidR="00945A32" w:rsidRPr="00984F4A" w:rsidRDefault="00945A32" w:rsidP="00B5032F">
            <w:pPr>
              <w:rPr>
                <w:sz w:val="20"/>
                <w:szCs w:val="20"/>
              </w:rPr>
            </w:pPr>
            <w:r w:rsidRPr="00984F4A">
              <w:rPr>
                <w:sz w:val="20"/>
                <w:szCs w:val="20"/>
              </w:rPr>
              <w:t>Is there one master account the Department operates as? Is there one master agreement from the Department with the provider?</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A7D179" w14:textId="77777777" w:rsidR="00945A32" w:rsidRPr="00D9013D" w:rsidRDefault="00945A32" w:rsidP="00B5032F">
            <w:pPr>
              <w:spacing w:after="60"/>
              <w:rPr>
                <w:sz w:val="20"/>
                <w:szCs w:val="20"/>
              </w:rPr>
            </w:pPr>
            <w:r w:rsidRPr="00D9013D">
              <w:rPr>
                <w:sz w:val="20"/>
                <w:szCs w:val="20"/>
              </w:rPr>
              <w:t>The Department holds the master account and will access all Payroll Center and member account information.</w:t>
            </w:r>
          </w:p>
          <w:p w14:paraId="4C1BB3B5" w14:textId="77777777" w:rsidR="00945A32" w:rsidRPr="00984F4A" w:rsidRDefault="00945A32" w:rsidP="00B5032F">
            <w:pPr>
              <w:rPr>
                <w:sz w:val="20"/>
                <w:szCs w:val="20"/>
              </w:rPr>
            </w:pPr>
            <w:r w:rsidRPr="00D9013D">
              <w:rPr>
                <w:sz w:val="20"/>
                <w:szCs w:val="20"/>
              </w:rPr>
              <w:t>Each of the 9 Payroll Centers must be limited to</w:t>
            </w:r>
            <w:r w:rsidRPr="00D9013D" w:rsidDel="006D5C55">
              <w:rPr>
                <w:sz w:val="20"/>
                <w:szCs w:val="20"/>
              </w:rPr>
              <w:t xml:space="preserve"> </w:t>
            </w:r>
            <w:r w:rsidRPr="00D9013D">
              <w:rPr>
                <w:sz w:val="20"/>
                <w:szCs w:val="20"/>
              </w:rPr>
              <w:t xml:space="preserve">reporting and information </w:t>
            </w:r>
            <w:r>
              <w:rPr>
                <w:sz w:val="20"/>
                <w:szCs w:val="20"/>
              </w:rPr>
              <w:t xml:space="preserve">for </w:t>
            </w:r>
            <w:r w:rsidRPr="00D9013D">
              <w:rPr>
                <w:sz w:val="20"/>
                <w:szCs w:val="20"/>
              </w:rPr>
              <w:t>their population of enrollments</w:t>
            </w:r>
            <w:r>
              <w:rPr>
                <w:sz w:val="20"/>
                <w:szCs w:val="20"/>
              </w:rPr>
              <w:t xml:space="preserve"> only</w:t>
            </w:r>
            <w:r w:rsidRPr="00D9013D">
              <w:rPr>
                <w:sz w:val="20"/>
                <w:szCs w:val="20"/>
              </w:rPr>
              <w:t>.</w:t>
            </w:r>
          </w:p>
        </w:tc>
      </w:tr>
      <w:tr w:rsidR="00B27F16" w14:paraId="504BF0E2"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F0E17A" w14:textId="77777777" w:rsidR="00945A32" w:rsidRPr="00D9013D" w:rsidRDefault="00945A32" w:rsidP="00B5032F">
            <w:pPr>
              <w:rPr>
                <w:sz w:val="20"/>
                <w:szCs w:val="20"/>
              </w:rPr>
            </w:pPr>
            <w:r>
              <w:rPr>
                <w:sz w:val="20"/>
                <w:szCs w:val="20"/>
              </w:rPr>
              <w:t>Q66</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006BFFE"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0E002F5F"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825F68D" w14:textId="77777777" w:rsidR="00945A32" w:rsidRPr="00984F4A" w:rsidRDefault="00945A32" w:rsidP="00B5032F">
            <w:pPr>
              <w:rPr>
                <w:sz w:val="20"/>
                <w:szCs w:val="20"/>
              </w:rPr>
            </w:pPr>
            <w:r w:rsidRPr="00984F4A">
              <w:rPr>
                <w:sz w:val="20"/>
                <w:szCs w:val="20"/>
              </w:rPr>
              <w:t>Are there divisional needs, including claim/contribution-funding from various accounts or admin fee payment from various accounts?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23704B0D" w14:textId="77777777" w:rsidR="00945A32" w:rsidRPr="00D9013D" w:rsidRDefault="00945A32" w:rsidP="00B5032F">
            <w:pPr>
              <w:spacing w:after="60"/>
              <w:rPr>
                <w:sz w:val="20"/>
                <w:szCs w:val="20"/>
              </w:rPr>
            </w:pPr>
            <w:r w:rsidRPr="00D9013D">
              <w:rPr>
                <w:sz w:val="20"/>
                <w:szCs w:val="20"/>
              </w:rPr>
              <w:t>The Department only needs to see administrative fee invoices or reports at the Payroll Center level.</w:t>
            </w:r>
          </w:p>
          <w:p w14:paraId="25FC04AC" w14:textId="77777777" w:rsidR="00945A32" w:rsidRPr="00984F4A" w:rsidRDefault="00945A32" w:rsidP="00B5032F">
            <w:pPr>
              <w:rPr>
                <w:sz w:val="20"/>
                <w:szCs w:val="20"/>
              </w:rPr>
            </w:pPr>
            <w:r w:rsidRPr="00D9013D">
              <w:rPr>
                <w:sz w:val="20"/>
                <w:szCs w:val="20"/>
              </w:rPr>
              <w:t xml:space="preserve">Payroll Centers may need to see reports at the division level, e.g., reporting by </w:t>
            </w:r>
            <w:r>
              <w:rPr>
                <w:sz w:val="20"/>
                <w:szCs w:val="20"/>
              </w:rPr>
              <w:t>Universities of Wisconsin</w:t>
            </w:r>
            <w:r w:rsidRPr="00D9013D">
              <w:rPr>
                <w:sz w:val="20"/>
                <w:szCs w:val="20"/>
              </w:rPr>
              <w:t xml:space="preserve"> campus or specific state agencies. </w:t>
            </w:r>
          </w:p>
        </w:tc>
      </w:tr>
      <w:tr w:rsidR="00B27F16" w14:paraId="1D8C6B4C"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64E300" w14:textId="77777777" w:rsidR="00945A32" w:rsidRPr="00D9013D" w:rsidRDefault="00945A32" w:rsidP="00B5032F">
            <w:pPr>
              <w:rPr>
                <w:sz w:val="20"/>
                <w:szCs w:val="20"/>
              </w:rPr>
            </w:pPr>
            <w:r>
              <w:rPr>
                <w:sz w:val="20"/>
                <w:szCs w:val="20"/>
              </w:rPr>
              <w:t>Q67</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6522C3"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F34950"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505DEE" w14:textId="77777777" w:rsidR="00945A32" w:rsidRPr="00984F4A" w:rsidRDefault="00945A32" w:rsidP="00B5032F">
            <w:pPr>
              <w:rPr>
                <w:sz w:val="20"/>
                <w:szCs w:val="20"/>
              </w:rPr>
            </w:pPr>
            <w:r w:rsidRPr="00984F4A">
              <w:rPr>
                <w:sz w:val="20"/>
                <w:szCs w:val="20"/>
              </w:rPr>
              <w:t>Is the Department responsible for paying the administrative fees, or each individual state/employer group?</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301B19" w14:textId="77777777" w:rsidR="00945A32" w:rsidRPr="00984F4A" w:rsidRDefault="00945A32" w:rsidP="00B5032F">
            <w:pPr>
              <w:rPr>
                <w:sz w:val="20"/>
                <w:szCs w:val="20"/>
              </w:rPr>
            </w:pPr>
            <w:r>
              <w:rPr>
                <w:sz w:val="20"/>
                <w:szCs w:val="20"/>
              </w:rPr>
              <w:t xml:space="preserve">See response to Q10. </w:t>
            </w:r>
          </w:p>
        </w:tc>
      </w:tr>
      <w:tr w:rsidR="00B27F16" w14:paraId="0E4ACD2E"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FCF497" w14:textId="77777777" w:rsidR="00945A32" w:rsidRPr="00D9013D" w:rsidRDefault="00945A32" w:rsidP="00B5032F">
            <w:pPr>
              <w:rPr>
                <w:sz w:val="20"/>
                <w:szCs w:val="20"/>
              </w:rPr>
            </w:pPr>
            <w:r>
              <w:rPr>
                <w:sz w:val="20"/>
                <w:szCs w:val="20"/>
              </w:rPr>
              <w:t>Q68</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3FFE40"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6709BC55"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B8AF5F9" w14:textId="77777777" w:rsidR="00945A32" w:rsidRPr="00984F4A" w:rsidRDefault="00945A32" w:rsidP="00B5032F">
            <w:pPr>
              <w:rPr>
                <w:sz w:val="20"/>
                <w:szCs w:val="20"/>
              </w:rPr>
            </w:pPr>
            <w:r w:rsidRPr="00984F4A">
              <w:rPr>
                <w:sz w:val="20"/>
                <w:szCs w:val="20"/>
              </w:rPr>
              <w:t xml:space="preserve">Is the HR team centralized for all groups, or would there be HR contacts/teams at each group that the </w:t>
            </w:r>
            <w:r w:rsidRPr="00984F4A">
              <w:rPr>
                <w:sz w:val="20"/>
                <w:szCs w:val="20"/>
              </w:rPr>
              <w:lastRenderedPageBreak/>
              <w:t>provider would work directly with?</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1D0B3D48" w14:textId="77777777" w:rsidR="00945A32" w:rsidRPr="00D9013D" w:rsidRDefault="00945A32" w:rsidP="00B5032F">
            <w:pPr>
              <w:spacing w:after="60"/>
              <w:rPr>
                <w:sz w:val="20"/>
                <w:szCs w:val="20"/>
              </w:rPr>
            </w:pPr>
            <w:r w:rsidRPr="00D9013D">
              <w:rPr>
                <w:sz w:val="20"/>
                <w:szCs w:val="20"/>
              </w:rPr>
              <w:lastRenderedPageBreak/>
              <w:t xml:space="preserve">Each of the 9 Payroll Centers has their own HR and Benefits Administration staff that support the programs. The Contractor(s) </w:t>
            </w:r>
            <w:r w:rsidRPr="00D9013D">
              <w:rPr>
                <w:sz w:val="20"/>
                <w:szCs w:val="20"/>
              </w:rPr>
              <w:lastRenderedPageBreak/>
              <w:t>will work directly with all of these staff</w:t>
            </w:r>
            <w:r>
              <w:rPr>
                <w:sz w:val="20"/>
                <w:szCs w:val="20"/>
              </w:rPr>
              <w:t xml:space="preserve"> and Department staff</w:t>
            </w:r>
            <w:r w:rsidRPr="00D9013D">
              <w:rPr>
                <w:sz w:val="20"/>
                <w:szCs w:val="20"/>
              </w:rPr>
              <w:t xml:space="preserve">. </w:t>
            </w:r>
          </w:p>
          <w:p w14:paraId="533AB551" w14:textId="77777777" w:rsidR="00945A32" w:rsidRPr="00984F4A" w:rsidRDefault="00945A32" w:rsidP="00B5032F">
            <w:pPr>
              <w:rPr>
                <w:sz w:val="20"/>
                <w:szCs w:val="20"/>
              </w:rPr>
            </w:pPr>
            <w:r w:rsidRPr="00D9013D">
              <w:rPr>
                <w:sz w:val="20"/>
                <w:szCs w:val="20"/>
              </w:rPr>
              <w:t>See Appendix 3 – State Employer Organizational Relationship Overview.</w:t>
            </w:r>
          </w:p>
        </w:tc>
      </w:tr>
      <w:tr w:rsidR="00B27F16" w14:paraId="022C3BA1"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AE0EA3" w14:textId="77777777" w:rsidR="00945A32" w:rsidRPr="00D9013D" w:rsidRDefault="00945A32" w:rsidP="00B5032F">
            <w:pPr>
              <w:rPr>
                <w:sz w:val="20"/>
                <w:szCs w:val="20"/>
              </w:rPr>
            </w:pPr>
            <w:r>
              <w:rPr>
                <w:sz w:val="20"/>
                <w:szCs w:val="20"/>
              </w:rPr>
              <w:lastRenderedPageBreak/>
              <w:t>Q69</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747482"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A66B48"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6AA5" w14:textId="77777777" w:rsidR="00945A32" w:rsidRPr="00984F4A" w:rsidRDefault="00945A32" w:rsidP="00B5032F">
            <w:pPr>
              <w:rPr>
                <w:sz w:val="20"/>
                <w:szCs w:val="20"/>
              </w:rPr>
            </w:pPr>
            <w:r w:rsidRPr="00984F4A">
              <w:rPr>
                <w:sz w:val="20"/>
                <w:szCs w:val="20"/>
              </w:rPr>
              <w:t>Would the Department be willing to complete our NDA, in order to receive the Soc2 report? If so, what would be the best way to get the NDA to the Department for review and execution?</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E0C57" w14:textId="77777777" w:rsidR="00945A32" w:rsidRPr="00984F4A" w:rsidRDefault="00945A32" w:rsidP="00B5032F">
            <w:pPr>
              <w:rPr>
                <w:sz w:val="20"/>
                <w:szCs w:val="20"/>
              </w:rPr>
            </w:pPr>
            <w:r w:rsidRPr="00D9013D">
              <w:rPr>
                <w:sz w:val="20"/>
                <w:szCs w:val="20"/>
              </w:rPr>
              <w:t>Yes, the Department is open to completing a</w:t>
            </w:r>
            <w:r>
              <w:rPr>
                <w:sz w:val="20"/>
                <w:szCs w:val="20"/>
              </w:rPr>
              <w:t>n</w:t>
            </w:r>
            <w:r w:rsidRPr="00D9013D">
              <w:rPr>
                <w:sz w:val="20"/>
                <w:szCs w:val="20"/>
              </w:rPr>
              <w:t xml:space="preserve"> NDA in order to receive the Proposer’s SOC 2 Type 2 report. This would be necessary only if a Proposer is selected as a finalist, and the Proposer does not find FORM G – Designation of Confidential and Proprietary Information to be sufficient. If FORM G does not meet your needs, the Department has a</w:t>
            </w:r>
            <w:r>
              <w:rPr>
                <w:sz w:val="20"/>
                <w:szCs w:val="20"/>
              </w:rPr>
              <w:t>n</w:t>
            </w:r>
            <w:r w:rsidRPr="00D9013D">
              <w:rPr>
                <w:sz w:val="20"/>
                <w:szCs w:val="20"/>
              </w:rPr>
              <w:t xml:space="preserve"> NDA for the purpose of receiving vendor SOC 2 reports; state in your Proposal your desire to receive a copy of this NDA.</w:t>
            </w:r>
          </w:p>
        </w:tc>
      </w:tr>
      <w:tr w:rsidR="00B27F16" w14:paraId="169A10F5"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F830AE" w14:textId="77777777" w:rsidR="00945A32" w:rsidRPr="00D9013D" w:rsidRDefault="00945A32" w:rsidP="00B5032F">
            <w:pPr>
              <w:rPr>
                <w:sz w:val="20"/>
                <w:szCs w:val="20"/>
              </w:rPr>
            </w:pPr>
            <w:r>
              <w:rPr>
                <w:sz w:val="20"/>
                <w:szCs w:val="20"/>
              </w:rPr>
              <w:t>Q70</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D706EF6"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6D5DA590"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CA5691E" w14:textId="77777777" w:rsidR="00945A32" w:rsidRPr="00984F4A" w:rsidRDefault="00945A32" w:rsidP="00B5032F">
            <w:pPr>
              <w:rPr>
                <w:sz w:val="20"/>
                <w:szCs w:val="20"/>
              </w:rPr>
            </w:pPr>
            <w:r w:rsidRPr="00984F4A">
              <w:rPr>
                <w:sz w:val="20"/>
                <w:szCs w:val="20"/>
              </w:rPr>
              <w:t>Are there any non-negotiable items from a contracting perspective, for example, flexibility on indemnification being subject to a cap?</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30BE7BA4" w14:textId="77777777" w:rsidR="00945A32" w:rsidRPr="00984F4A" w:rsidRDefault="00945A32" w:rsidP="00B5032F">
            <w:pPr>
              <w:rPr>
                <w:sz w:val="20"/>
                <w:szCs w:val="20"/>
              </w:rPr>
            </w:pPr>
            <w:r w:rsidRPr="00D9013D">
              <w:rPr>
                <w:sz w:val="20"/>
                <w:szCs w:val="20"/>
              </w:rPr>
              <w:t xml:space="preserve">See RFP Section 2.4.2. </w:t>
            </w:r>
          </w:p>
        </w:tc>
      </w:tr>
      <w:tr w:rsidR="00B27F16" w14:paraId="1026E711"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893A55" w14:textId="77777777" w:rsidR="00945A32" w:rsidRPr="00D9013D" w:rsidRDefault="00945A32" w:rsidP="00B5032F">
            <w:pPr>
              <w:rPr>
                <w:sz w:val="20"/>
                <w:szCs w:val="20"/>
              </w:rPr>
            </w:pPr>
            <w:r>
              <w:rPr>
                <w:sz w:val="20"/>
                <w:szCs w:val="20"/>
              </w:rPr>
              <w:t>Q71</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8F929D"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F872AB"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53D798" w14:textId="77777777" w:rsidR="00945A32" w:rsidRPr="00984F4A" w:rsidRDefault="00945A32" w:rsidP="00B5032F">
            <w:pPr>
              <w:rPr>
                <w:sz w:val="20"/>
                <w:szCs w:val="20"/>
              </w:rPr>
            </w:pPr>
            <w:r w:rsidRPr="00984F4A">
              <w:rPr>
                <w:sz w:val="20"/>
                <w:szCs w:val="20"/>
              </w:rPr>
              <w:t>Is the Department open to utilizing the provider’s service agreement as the foundation of the contract, with mutual redlining completed to reach agreeable terms?</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2DB61" w14:textId="77777777" w:rsidR="00945A32" w:rsidRPr="00984F4A" w:rsidRDefault="00945A32" w:rsidP="00B5032F">
            <w:pPr>
              <w:rPr>
                <w:sz w:val="20"/>
                <w:szCs w:val="20"/>
              </w:rPr>
            </w:pPr>
            <w:r w:rsidRPr="00D9013D">
              <w:rPr>
                <w:sz w:val="20"/>
                <w:szCs w:val="20"/>
              </w:rPr>
              <w:t xml:space="preserve">No. See RFP Sections 2.4.1 and 9.1. </w:t>
            </w:r>
          </w:p>
        </w:tc>
      </w:tr>
      <w:tr w:rsidR="00B27F16" w14:paraId="5A10FF62"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7B2DF3" w14:textId="77777777" w:rsidR="00945A32" w:rsidRPr="00D9013D" w:rsidRDefault="00945A32" w:rsidP="00B5032F">
            <w:pPr>
              <w:rPr>
                <w:sz w:val="20"/>
                <w:szCs w:val="20"/>
              </w:rPr>
            </w:pPr>
            <w:r>
              <w:rPr>
                <w:sz w:val="20"/>
                <w:szCs w:val="20"/>
              </w:rPr>
              <w:t>Q72</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39E94A6" w14:textId="77777777" w:rsidR="00945A32" w:rsidRPr="00984F4A" w:rsidRDefault="00945A32" w:rsidP="00B5032F">
            <w:pPr>
              <w:rPr>
                <w:sz w:val="20"/>
                <w:szCs w:val="20"/>
              </w:rPr>
            </w:pPr>
            <w:r w:rsidRPr="00D9013D">
              <w:rPr>
                <w:sz w:val="20"/>
                <w:szCs w:val="20"/>
              </w:rPr>
              <w:t>RFP</w:t>
            </w: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B98830" w14:textId="77777777" w:rsidR="00945A32" w:rsidRPr="00984F4A" w:rsidRDefault="00945A32" w:rsidP="00B5032F">
            <w:pPr>
              <w:rPr>
                <w:sz w:val="20"/>
                <w:szCs w:val="20"/>
              </w:rPr>
            </w:pPr>
            <w:r w:rsidRPr="00984F4A">
              <w:rPr>
                <w:sz w:val="20"/>
                <w:szCs w:val="20"/>
              </w:rPr>
              <w:t>Pg 4</w:t>
            </w: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9AA51DB" w14:textId="77777777" w:rsidR="00945A32" w:rsidRPr="00984F4A" w:rsidRDefault="00945A32" w:rsidP="00B5032F">
            <w:pPr>
              <w:rPr>
                <w:sz w:val="20"/>
                <w:szCs w:val="20"/>
              </w:rPr>
            </w:pPr>
            <w:r w:rsidRPr="00984F4A">
              <w:rPr>
                <w:color w:val="000000"/>
                <w:sz w:val="20"/>
                <w:szCs w:val="20"/>
              </w:rPr>
              <w:t xml:space="preserve">Please provide clarity regarding advanced compliance and tax code guidance; (pg 4 of RFP). Generally these aspects are managed by a benefits attorney or tax advisor, beyond our standard compliance support. </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76133624" w14:textId="77777777" w:rsidR="00945A32" w:rsidRPr="00D9013D" w:rsidRDefault="00945A32" w:rsidP="00B5032F">
            <w:pPr>
              <w:pStyle w:val="ETFNormal"/>
              <w:spacing w:before="0"/>
              <w:jc w:val="left"/>
              <w:rPr>
                <w:sz w:val="20"/>
              </w:rPr>
            </w:pPr>
            <w:r w:rsidRPr="00D9013D">
              <w:rPr>
                <w:sz w:val="20"/>
              </w:rPr>
              <w:t xml:space="preserve">The Contractor must be able to provide advanced compliance and tax code guidance to the Department related to program administration. </w:t>
            </w:r>
            <w:bookmarkStart w:id="4" w:name="OLE_LINK1"/>
            <w:r w:rsidRPr="00D9013D">
              <w:rPr>
                <w:sz w:val="20"/>
              </w:rPr>
              <w:t xml:space="preserve">Throughout the RFP and Program Agreements </w:t>
            </w:r>
            <w:r>
              <w:rPr>
                <w:sz w:val="20"/>
              </w:rPr>
              <w:t xml:space="preserve">there is additional </w:t>
            </w:r>
            <w:r w:rsidRPr="00D9013D">
              <w:rPr>
                <w:sz w:val="20"/>
              </w:rPr>
              <w:t>information on what compliance and tax code guidance is required</w:t>
            </w:r>
            <w:bookmarkEnd w:id="4"/>
            <w:r w:rsidRPr="00D9013D">
              <w:rPr>
                <w:sz w:val="20"/>
              </w:rPr>
              <w:t>.</w:t>
            </w:r>
          </w:p>
        </w:tc>
      </w:tr>
      <w:tr w:rsidR="00B27F16" w14:paraId="26BE153A"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2239A0" w14:textId="77777777" w:rsidR="00945A32" w:rsidRPr="00D9013D" w:rsidRDefault="00945A32" w:rsidP="00B5032F">
            <w:pPr>
              <w:rPr>
                <w:sz w:val="20"/>
                <w:szCs w:val="20"/>
              </w:rPr>
            </w:pPr>
            <w:r>
              <w:rPr>
                <w:sz w:val="20"/>
                <w:szCs w:val="20"/>
              </w:rPr>
              <w:t>Q73</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09A5F7"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30AB5B"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2A857E" w14:textId="77777777" w:rsidR="00945A32" w:rsidRPr="00984F4A" w:rsidRDefault="00945A32" w:rsidP="00B5032F">
            <w:pPr>
              <w:rPr>
                <w:sz w:val="20"/>
                <w:szCs w:val="20"/>
              </w:rPr>
            </w:pPr>
            <w:r w:rsidRPr="00984F4A">
              <w:rPr>
                <w:sz w:val="20"/>
                <w:szCs w:val="20"/>
              </w:rPr>
              <w:t xml:space="preserve">We saw the Department offers wellness benefits. Would there be interest to see a Lifestyle Spending Account quote, to represent the power of consolidation for convenience? We offer a post-tax benefit that </w:t>
            </w:r>
            <w:r w:rsidRPr="00984F4A">
              <w:rPr>
                <w:sz w:val="20"/>
                <w:szCs w:val="20"/>
              </w:rPr>
              <w:lastRenderedPageBreak/>
              <w:t>would align with the current offer of the Departments.</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01EE6" w14:textId="77777777" w:rsidR="00945A32" w:rsidRPr="00984F4A" w:rsidRDefault="00945A32" w:rsidP="00B5032F">
            <w:pPr>
              <w:rPr>
                <w:sz w:val="20"/>
                <w:szCs w:val="20"/>
              </w:rPr>
            </w:pPr>
            <w:r>
              <w:rPr>
                <w:sz w:val="20"/>
                <w:szCs w:val="20"/>
              </w:rPr>
              <w:lastRenderedPageBreak/>
              <w:t>As stated in FORM H – Cost Proposal Workbook “</w:t>
            </w:r>
            <w:r w:rsidRPr="00C20833">
              <w:rPr>
                <w:sz w:val="20"/>
                <w:szCs w:val="20"/>
              </w:rPr>
              <w:t>Proposers may enter additional costs for proposed Additional Services (per Section 8 of the RFP) only in the "Additional Services" section located near the bottom of Tabs 2 and 3.</w:t>
            </w:r>
            <w:r>
              <w:rPr>
                <w:sz w:val="20"/>
                <w:szCs w:val="20"/>
              </w:rPr>
              <w:t>”</w:t>
            </w:r>
          </w:p>
        </w:tc>
      </w:tr>
      <w:tr w:rsidR="00B27F16" w14:paraId="07EB3AAE"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412A55" w14:textId="77777777" w:rsidR="00945A32" w:rsidRPr="00D9013D" w:rsidRDefault="00945A32" w:rsidP="00B5032F">
            <w:pPr>
              <w:rPr>
                <w:sz w:val="20"/>
                <w:szCs w:val="20"/>
              </w:rPr>
            </w:pPr>
            <w:r>
              <w:rPr>
                <w:sz w:val="20"/>
                <w:szCs w:val="20"/>
              </w:rPr>
              <w:t>Q74</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001FE09"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377B5C1D"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2898AE5" w14:textId="77777777" w:rsidR="00945A32" w:rsidRPr="00984F4A" w:rsidRDefault="00945A32" w:rsidP="00B5032F">
            <w:pPr>
              <w:rPr>
                <w:sz w:val="20"/>
                <w:szCs w:val="20"/>
              </w:rPr>
            </w:pPr>
            <w:r w:rsidRPr="00984F4A">
              <w:rPr>
                <w:color w:val="000000"/>
                <w:sz w:val="20"/>
                <w:szCs w:val="20"/>
              </w:rPr>
              <w:t>Does the VEBA allow for debit card usage for the 'Retiree HRA'?</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41A23C2C" w14:textId="77777777" w:rsidR="00945A32" w:rsidRPr="00984F4A" w:rsidRDefault="00945A32" w:rsidP="00B5032F">
            <w:pPr>
              <w:rPr>
                <w:sz w:val="20"/>
                <w:szCs w:val="20"/>
              </w:rPr>
            </w:pPr>
            <w:r w:rsidRPr="00D9013D">
              <w:rPr>
                <w:sz w:val="20"/>
                <w:szCs w:val="20"/>
              </w:rPr>
              <w:t xml:space="preserve">The Department does not offer a VEBA or HRA. </w:t>
            </w:r>
          </w:p>
        </w:tc>
      </w:tr>
      <w:tr w:rsidR="00B27F16" w14:paraId="253EFB5E"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36DEC1" w14:textId="77777777" w:rsidR="00945A32" w:rsidRPr="00D9013D" w:rsidRDefault="00945A32" w:rsidP="00B5032F">
            <w:pPr>
              <w:rPr>
                <w:sz w:val="20"/>
                <w:szCs w:val="20"/>
              </w:rPr>
            </w:pPr>
            <w:r>
              <w:rPr>
                <w:sz w:val="20"/>
                <w:szCs w:val="20"/>
              </w:rPr>
              <w:t>Q75</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0C7F22"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762035"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BE5777" w14:textId="77777777" w:rsidR="00945A32" w:rsidRPr="00984F4A" w:rsidRDefault="00945A32" w:rsidP="00B5032F">
            <w:pPr>
              <w:rPr>
                <w:sz w:val="20"/>
                <w:szCs w:val="20"/>
              </w:rPr>
            </w:pPr>
            <w:r w:rsidRPr="00984F4A">
              <w:rPr>
                <w:color w:val="000000"/>
                <w:sz w:val="20"/>
                <w:szCs w:val="20"/>
              </w:rPr>
              <w:t>How does the VEBA HRA work? Can you provide plan design information?</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2E2B47" w14:textId="77777777" w:rsidR="00945A32" w:rsidRPr="00984F4A" w:rsidRDefault="00945A32" w:rsidP="00B5032F">
            <w:pPr>
              <w:rPr>
                <w:sz w:val="20"/>
                <w:szCs w:val="20"/>
              </w:rPr>
            </w:pPr>
            <w:r w:rsidRPr="00D9013D">
              <w:rPr>
                <w:sz w:val="20"/>
                <w:szCs w:val="20"/>
              </w:rPr>
              <w:t>The Department does not offer a VEBA or HRA.</w:t>
            </w:r>
          </w:p>
        </w:tc>
      </w:tr>
      <w:tr w:rsidR="00B27F16" w14:paraId="07FFE996"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3DFDF1" w14:textId="77777777" w:rsidR="00945A32" w:rsidRPr="00D9013D" w:rsidRDefault="00945A32" w:rsidP="00B5032F">
            <w:pPr>
              <w:rPr>
                <w:sz w:val="20"/>
                <w:szCs w:val="20"/>
              </w:rPr>
            </w:pPr>
            <w:r>
              <w:rPr>
                <w:sz w:val="20"/>
                <w:szCs w:val="20"/>
              </w:rPr>
              <w:t>Q76</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143FA9D"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57F240CF"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3AD3512" w14:textId="77777777" w:rsidR="00945A32" w:rsidRPr="00984F4A" w:rsidRDefault="00945A32" w:rsidP="00B5032F">
            <w:pPr>
              <w:rPr>
                <w:sz w:val="20"/>
                <w:szCs w:val="20"/>
              </w:rPr>
            </w:pPr>
            <w:r w:rsidRPr="00984F4A">
              <w:rPr>
                <w:sz w:val="20"/>
                <w:szCs w:val="20"/>
              </w:rPr>
              <w:t>Does the VEBA offer investment options, and if so, could the line up be provided?</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26D9AE49" w14:textId="77777777" w:rsidR="00945A32" w:rsidRPr="00984F4A" w:rsidRDefault="00945A32" w:rsidP="00B5032F">
            <w:pPr>
              <w:rPr>
                <w:sz w:val="20"/>
                <w:szCs w:val="20"/>
              </w:rPr>
            </w:pPr>
            <w:r w:rsidRPr="00D9013D">
              <w:rPr>
                <w:sz w:val="20"/>
                <w:szCs w:val="20"/>
              </w:rPr>
              <w:t>The Department does not offer a VEBA or HRA.</w:t>
            </w:r>
          </w:p>
        </w:tc>
      </w:tr>
      <w:tr w:rsidR="00B27F16" w14:paraId="501017B3"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B0C268" w14:textId="77777777" w:rsidR="00945A32" w:rsidRPr="00D9013D" w:rsidRDefault="00945A32" w:rsidP="00B5032F">
            <w:pPr>
              <w:rPr>
                <w:sz w:val="20"/>
                <w:szCs w:val="20"/>
              </w:rPr>
            </w:pPr>
            <w:r>
              <w:rPr>
                <w:sz w:val="20"/>
                <w:szCs w:val="20"/>
              </w:rPr>
              <w:t>Q77</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1F0259"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A9DFD5"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FCBD81" w14:textId="77777777" w:rsidR="00945A32" w:rsidRPr="00984F4A" w:rsidRDefault="00945A32" w:rsidP="00B5032F">
            <w:pPr>
              <w:rPr>
                <w:sz w:val="20"/>
                <w:szCs w:val="20"/>
              </w:rPr>
            </w:pPr>
            <w:r w:rsidRPr="00984F4A">
              <w:rPr>
                <w:sz w:val="20"/>
                <w:szCs w:val="20"/>
              </w:rPr>
              <w:t>When was the VEBA trust established?</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FED082" w14:textId="77777777" w:rsidR="00945A32" w:rsidRPr="00D9013D" w:rsidRDefault="00945A32" w:rsidP="00B5032F">
            <w:pPr>
              <w:rPr>
                <w:sz w:val="20"/>
                <w:szCs w:val="20"/>
              </w:rPr>
            </w:pPr>
            <w:r w:rsidRPr="00D9013D">
              <w:rPr>
                <w:sz w:val="20"/>
                <w:szCs w:val="20"/>
              </w:rPr>
              <w:t>The Department does not offer a VEBA or HRA.</w:t>
            </w:r>
          </w:p>
          <w:p w14:paraId="4E91F27A" w14:textId="77777777" w:rsidR="00945A32" w:rsidRPr="00984F4A" w:rsidRDefault="00945A32" w:rsidP="00B5032F">
            <w:pPr>
              <w:rPr>
                <w:sz w:val="20"/>
                <w:szCs w:val="20"/>
              </w:rPr>
            </w:pPr>
          </w:p>
        </w:tc>
      </w:tr>
      <w:tr w:rsidR="00B27F16" w14:paraId="0F0E200A"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FEA7" w14:textId="77777777" w:rsidR="00945A32" w:rsidRPr="00D9013D" w:rsidRDefault="00945A32" w:rsidP="00B5032F">
            <w:pPr>
              <w:rPr>
                <w:sz w:val="20"/>
                <w:szCs w:val="20"/>
              </w:rPr>
            </w:pPr>
            <w:r>
              <w:rPr>
                <w:sz w:val="20"/>
                <w:szCs w:val="20"/>
              </w:rPr>
              <w:t>Q78</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15B113A"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5DB0BFA0"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0B449FE" w14:textId="77777777" w:rsidR="00945A32" w:rsidRPr="00984F4A" w:rsidRDefault="00945A32" w:rsidP="00B5032F">
            <w:pPr>
              <w:rPr>
                <w:sz w:val="20"/>
                <w:szCs w:val="20"/>
              </w:rPr>
            </w:pPr>
            <w:r w:rsidRPr="00984F4A">
              <w:rPr>
                <w:sz w:val="20"/>
                <w:szCs w:val="20"/>
              </w:rPr>
              <w:t>What are the VEBA assets under management, broken out between funds in cash and funds in investments?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7F87928D" w14:textId="77777777" w:rsidR="00945A32" w:rsidRPr="00984F4A" w:rsidRDefault="00945A32" w:rsidP="00B5032F">
            <w:pPr>
              <w:rPr>
                <w:sz w:val="20"/>
                <w:szCs w:val="20"/>
              </w:rPr>
            </w:pPr>
            <w:r w:rsidRPr="00D9013D">
              <w:rPr>
                <w:sz w:val="20"/>
                <w:szCs w:val="20"/>
              </w:rPr>
              <w:t>The Department does not offer a VEBA or HRA.</w:t>
            </w:r>
          </w:p>
        </w:tc>
      </w:tr>
      <w:tr w:rsidR="00B27F16" w14:paraId="47330152"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EFDA01" w14:textId="77777777" w:rsidR="00945A32" w:rsidRPr="00D9013D" w:rsidRDefault="00945A32" w:rsidP="00B5032F">
            <w:pPr>
              <w:rPr>
                <w:sz w:val="20"/>
                <w:szCs w:val="20"/>
              </w:rPr>
            </w:pPr>
            <w:r>
              <w:rPr>
                <w:sz w:val="20"/>
                <w:szCs w:val="20"/>
              </w:rPr>
              <w:t>Q79</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8B1EF3"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2F07CD"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E4B0DCE" w14:textId="77777777" w:rsidR="00945A32" w:rsidRPr="00984F4A" w:rsidRDefault="00945A32" w:rsidP="00B5032F">
            <w:pPr>
              <w:rPr>
                <w:sz w:val="20"/>
                <w:szCs w:val="20"/>
              </w:rPr>
            </w:pPr>
            <w:r w:rsidRPr="00984F4A">
              <w:rPr>
                <w:color w:val="000000"/>
                <w:sz w:val="20"/>
                <w:szCs w:val="20"/>
              </w:rPr>
              <w:t>Who manages the trust/record keeping/fiduciary for the VEBA?</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5D5281" w14:textId="77777777" w:rsidR="00945A32" w:rsidRPr="00984F4A" w:rsidRDefault="00945A32" w:rsidP="00B5032F">
            <w:pPr>
              <w:rPr>
                <w:sz w:val="20"/>
                <w:szCs w:val="20"/>
              </w:rPr>
            </w:pPr>
            <w:r w:rsidRPr="00D9013D">
              <w:rPr>
                <w:sz w:val="20"/>
                <w:szCs w:val="20"/>
              </w:rPr>
              <w:t>The Department does not offer a VEBA or HRA.</w:t>
            </w:r>
          </w:p>
        </w:tc>
      </w:tr>
      <w:tr w:rsidR="00B27F16" w14:paraId="78C8D349"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C67458" w14:textId="77777777" w:rsidR="00945A32" w:rsidRPr="00D9013D" w:rsidRDefault="00945A32" w:rsidP="00B5032F">
            <w:pPr>
              <w:rPr>
                <w:sz w:val="20"/>
                <w:szCs w:val="20"/>
              </w:rPr>
            </w:pPr>
            <w:r>
              <w:rPr>
                <w:sz w:val="20"/>
                <w:szCs w:val="20"/>
              </w:rPr>
              <w:t>Q80</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6A075E"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50A99237"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45B2592" w14:textId="77777777" w:rsidR="00945A32" w:rsidRPr="00984F4A" w:rsidRDefault="00945A32" w:rsidP="00B5032F">
            <w:pPr>
              <w:rPr>
                <w:sz w:val="20"/>
                <w:szCs w:val="20"/>
              </w:rPr>
            </w:pPr>
            <w:r w:rsidRPr="00984F4A">
              <w:rPr>
                <w:color w:val="000000"/>
                <w:sz w:val="20"/>
                <w:szCs w:val="20"/>
              </w:rPr>
              <w:t>Who manages the administration of the funded HRA?</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07BD0080" w14:textId="77777777" w:rsidR="00945A32" w:rsidRPr="00984F4A" w:rsidRDefault="00945A32" w:rsidP="00B5032F">
            <w:pPr>
              <w:rPr>
                <w:sz w:val="20"/>
                <w:szCs w:val="20"/>
              </w:rPr>
            </w:pPr>
            <w:r>
              <w:rPr>
                <w:sz w:val="20"/>
                <w:szCs w:val="20"/>
              </w:rPr>
              <w:t xml:space="preserve">The Department does not offer an HRA. </w:t>
            </w:r>
          </w:p>
        </w:tc>
      </w:tr>
      <w:tr w:rsidR="00B27F16" w14:paraId="5FF2FDCC"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5E9ED7" w14:textId="77777777" w:rsidR="00945A32" w:rsidRPr="00D9013D" w:rsidRDefault="00945A32" w:rsidP="00B5032F">
            <w:pPr>
              <w:rPr>
                <w:sz w:val="20"/>
                <w:szCs w:val="20"/>
              </w:rPr>
            </w:pPr>
            <w:r>
              <w:rPr>
                <w:sz w:val="20"/>
                <w:szCs w:val="20"/>
              </w:rPr>
              <w:t>Q81</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0079BF"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4B4D7C"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E85143" w14:textId="77777777" w:rsidR="00945A32" w:rsidRPr="00984F4A" w:rsidRDefault="00945A32" w:rsidP="00B5032F">
            <w:pPr>
              <w:rPr>
                <w:sz w:val="20"/>
                <w:szCs w:val="20"/>
              </w:rPr>
            </w:pPr>
            <w:r w:rsidRPr="00984F4A">
              <w:rPr>
                <w:color w:val="000000"/>
                <w:sz w:val="20"/>
                <w:szCs w:val="20"/>
              </w:rPr>
              <w:t>Are you looking for trust administration and fund management (RIA/fiduciary/record keeping) and HRA administration?</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822831" w14:textId="77777777" w:rsidR="00945A32" w:rsidRPr="00D9013D" w:rsidRDefault="00945A32" w:rsidP="00B5032F">
            <w:pPr>
              <w:spacing w:after="60"/>
              <w:rPr>
                <w:sz w:val="20"/>
                <w:szCs w:val="20"/>
              </w:rPr>
            </w:pPr>
            <w:r w:rsidRPr="00D9013D">
              <w:rPr>
                <w:sz w:val="20"/>
                <w:szCs w:val="20"/>
              </w:rPr>
              <w:t xml:space="preserve">The Department is looking for a third-party administrator to offer the pre-tax savings account programs to State of Wisconsin members. </w:t>
            </w:r>
          </w:p>
          <w:p w14:paraId="1F4CCA20" w14:textId="77777777" w:rsidR="00945A32" w:rsidRPr="00984F4A" w:rsidRDefault="00945A32" w:rsidP="00B5032F">
            <w:pPr>
              <w:rPr>
                <w:sz w:val="20"/>
                <w:szCs w:val="20"/>
              </w:rPr>
            </w:pPr>
            <w:r w:rsidRPr="00D9013D">
              <w:rPr>
                <w:sz w:val="20"/>
                <w:szCs w:val="20"/>
              </w:rPr>
              <w:t>The Department does not offer a VEBA or HRA.</w:t>
            </w:r>
          </w:p>
        </w:tc>
      </w:tr>
      <w:tr w:rsidR="00B27F16" w14:paraId="1E4408D6"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FF6297" w14:textId="77777777" w:rsidR="00945A32" w:rsidRDefault="00945A32" w:rsidP="00B5032F">
            <w:pPr>
              <w:rPr>
                <w:sz w:val="20"/>
                <w:szCs w:val="20"/>
              </w:rPr>
            </w:pPr>
            <w:r>
              <w:rPr>
                <w:sz w:val="20"/>
                <w:szCs w:val="20"/>
              </w:rPr>
              <w:t>Q82</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B75E869"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2561EEC5"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911C153" w14:textId="77777777" w:rsidR="00945A32" w:rsidRPr="00984F4A" w:rsidRDefault="00945A32" w:rsidP="00B5032F">
            <w:pPr>
              <w:rPr>
                <w:color w:val="000000"/>
                <w:sz w:val="20"/>
                <w:szCs w:val="20"/>
              </w:rPr>
            </w:pPr>
            <w:r w:rsidRPr="00984F4A">
              <w:rPr>
                <w:color w:val="000000"/>
                <w:sz w:val="20"/>
                <w:szCs w:val="20"/>
              </w:rPr>
              <w:t>If so, can you please describe the VEBA in place today?</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79326B1C" w14:textId="77777777" w:rsidR="00945A32" w:rsidRPr="00984F4A" w:rsidRDefault="00945A32" w:rsidP="00B5032F">
            <w:pPr>
              <w:rPr>
                <w:sz w:val="20"/>
                <w:szCs w:val="20"/>
              </w:rPr>
            </w:pPr>
            <w:r w:rsidRPr="00D9013D">
              <w:rPr>
                <w:sz w:val="20"/>
                <w:szCs w:val="20"/>
              </w:rPr>
              <w:t>The Department does not offer a VEBA or HRA.</w:t>
            </w:r>
          </w:p>
        </w:tc>
      </w:tr>
      <w:tr w:rsidR="00B27F16" w14:paraId="6E9F6BEB"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13B05E" w14:textId="77777777" w:rsidR="00945A32" w:rsidRDefault="00945A32" w:rsidP="00B5032F">
            <w:pPr>
              <w:rPr>
                <w:sz w:val="20"/>
                <w:szCs w:val="20"/>
              </w:rPr>
            </w:pPr>
            <w:r>
              <w:rPr>
                <w:sz w:val="20"/>
                <w:szCs w:val="20"/>
              </w:rPr>
              <w:t>Q83</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61C996"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7F4540"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908636" w14:textId="77777777" w:rsidR="00945A32" w:rsidRPr="00984F4A" w:rsidRDefault="00945A32" w:rsidP="00B5032F">
            <w:pPr>
              <w:rPr>
                <w:color w:val="000000"/>
                <w:sz w:val="20"/>
                <w:szCs w:val="20"/>
              </w:rPr>
            </w:pPr>
            <w:r w:rsidRPr="00984F4A">
              <w:rPr>
                <w:color w:val="000000"/>
                <w:sz w:val="20"/>
                <w:szCs w:val="20"/>
              </w:rPr>
              <w:t>Is it a post-retirement VEBA?</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7996EA" w14:textId="77777777" w:rsidR="00945A32" w:rsidRPr="00984F4A" w:rsidRDefault="00945A32" w:rsidP="00B5032F">
            <w:pPr>
              <w:rPr>
                <w:sz w:val="20"/>
                <w:szCs w:val="20"/>
              </w:rPr>
            </w:pPr>
            <w:r w:rsidRPr="00D9013D">
              <w:rPr>
                <w:sz w:val="20"/>
                <w:szCs w:val="20"/>
              </w:rPr>
              <w:t>The Department does not offer a VEBA or HRA.</w:t>
            </w:r>
          </w:p>
        </w:tc>
      </w:tr>
      <w:tr w:rsidR="00B27F16" w14:paraId="100426A7"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4FBF933" w14:textId="77777777" w:rsidR="00945A32" w:rsidRDefault="00945A32" w:rsidP="00B5032F">
            <w:pPr>
              <w:rPr>
                <w:sz w:val="20"/>
                <w:szCs w:val="20"/>
              </w:rPr>
            </w:pPr>
            <w:r>
              <w:rPr>
                <w:sz w:val="20"/>
                <w:szCs w:val="20"/>
              </w:rPr>
              <w:t>Q84</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19409D9"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274A8819"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153FEBF" w14:textId="77777777" w:rsidR="00945A32" w:rsidRPr="00984F4A" w:rsidRDefault="00945A32" w:rsidP="00B5032F">
            <w:pPr>
              <w:rPr>
                <w:color w:val="000000"/>
                <w:sz w:val="20"/>
                <w:szCs w:val="20"/>
              </w:rPr>
            </w:pPr>
            <w:r w:rsidRPr="00984F4A">
              <w:rPr>
                <w:color w:val="000000"/>
                <w:sz w:val="20"/>
                <w:szCs w:val="20"/>
              </w:rPr>
              <w:t>Are there claim active and non-claim active participants?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3E60DEA9" w14:textId="77777777" w:rsidR="00945A32" w:rsidRPr="00D9013D" w:rsidRDefault="00945A32" w:rsidP="00B5032F">
            <w:pPr>
              <w:spacing w:after="60"/>
              <w:rPr>
                <w:sz w:val="20"/>
                <w:szCs w:val="20"/>
              </w:rPr>
            </w:pPr>
            <w:r w:rsidRPr="00D9013D">
              <w:rPr>
                <w:sz w:val="20"/>
                <w:szCs w:val="20"/>
              </w:rPr>
              <w:t>To be eligible to participate in the pre-tax programs, the member must be an active member (employed in a qualifying position) to participate.</w:t>
            </w:r>
          </w:p>
          <w:p w14:paraId="254ABF9B" w14:textId="77777777" w:rsidR="00945A32" w:rsidRPr="00D9013D" w:rsidRDefault="00945A32" w:rsidP="00B5032F">
            <w:pPr>
              <w:spacing w:after="60"/>
              <w:rPr>
                <w:sz w:val="20"/>
                <w:szCs w:val="20"/>
              </w:rPr>
            </w:pPr>
            <w:r>
              <w:rPr>
                <w:sz w:val="20"/>
                <w:szCs w:val="20"/>
              </w:rPr>
              <w:t>As a COBRA benefit, t</w:t>
            </w:r>
            <w:r w:rsidRPr="00D9013D">
              <w:rPr>
                <w:sz w:val="20"/>
                <w:szCs w:val="20"/>
              </w:rPr>
              <w:t xml:space="preserve">erminated employees can continue their FSA through the end of the plan year and submit claims for reimbursements.  </w:t>
            </w:r>
          </w:p>
          <w:p w14:paraId="3FA5585A" w14:textId="77777777" w:rsidR="00945A32" w:rsidRPr="00D9013D" w:rsidRDefault="00945A32" w:rsidP="00B5032F">
            <w:pPr>
              <w:spacing w:after="60"/>
              <w:rPr>
                <w:sz w:val="20"/>
                <w:szCs w:val="20"/>
              </w:rPr>
            </w:pPr>
            <w:r w:rsidRPr="00D9013D">
              <w:rPr>
                <w:sz w:val="20"/>
                <w:szCs w:val="20"/>
              </w:rPr>
              <w:t xml:space="preserve">Terminated employees with a Dependent Day Care Account </w:t>
            </w:r>
            <w:r w:rsidRPr="00D9013D">
              <w:rPr>
                <w:sz w:val="20"/>
                <w:szCs w:val="20"/>
              </w:rPr>
              <w:lastRenderedPageBreak/>
              <w:t xml:space="preserve">can submit </w:t>
            </w:r>
            <w:r>
              <w:rPr>
                <w:sz w:val="20"/>
                <w:szCs w:val="20"/>
              </w:rPr>
              <w:t xml:space="preserve">eligible </w:t>
            </w:r>
            <w:r w:rsidRPr="00D9013D">
              <w:rPr>
                <w:sz w:val="20"/>
                <w:szCs w:val="20"/>
              </w:rPr>
              <w:t xml:space="preserve">claims through the end of the plan year for reimbursements. </w:t>
            </w:r>
          </w:p>
          <w:p w14:paraId="453B53A1" w14:textId="77777777" w:rsidR="00945A32" w:rsidRPr="00984F4A" w:rsidRDefault="00945A32" w:rsidP="00B5032F">
            <w:pPr>
              <w:rPr>
                <w:sz w:val="20"/>
                <w:szCs w:val="20"/>
              </w:rPr>
            </w:pPr>
            <w:r w:rsidRPr="00D9013D">
              <w:rPr>
                <w:sz w:val="20"/>
                <w:szCs w:val="20"/>
              </w:rPr>
              <w:t>Retirees enrolled in the State HDHP are required to maintain an HSA with the Contractor.</w:t>
            </w:r>
          </w:p>
        </w:tc>
      </w:tr>
      <w:tr w:rsidR="00B27F16" w14:paraId="5FE8CAD6"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4B7C02" w14:textId="77777777" w:rsidR="00945A32" w:rsidRDefault="00945A32" w:rsidP="00B5032F">
            <w:pPr>
              <w:rPr>
                <w:sz w:val="20"/>
                <w:szCs w:val="20"/>
              </w:rPr>
            </w:pPr>
            <w:r>
              <w:rPr>
                <w:sz w:val="20"/>
                <w:szCs w:val="20"/>
              </w:rPr>
              <w:lastRenderedPageBreak/>
              <w:t>Q85</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11A11"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1C0A3"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380B79" w14:textId="77777777" w:rsidR="00945A32" w:rsidRPr="00984F4A" w:rsidRDefault="00945A32" w:rsidP="00B5032F">
            <w:pPr>
              <w:rPr>
                <w:color w:val="000000"/>
                <w:sz w:val="20"/>
                <w:szCs w:val="20"/>
              </w:rPr>
            </w:pPr>
            <w:r w:rsidRPr="00984F4A">
              <w:rPr>
                <w:color w:val="000000"/>
                <w:sz w:val="20"/>
                <w:szCs w:val="20"/>
              </w:rPr>
              <w:t>If so, can you please break out active and post-employment accounts?</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1D0E21" w14:textId="77777777" w:rsidR="00945A32" w:rsidRPr="00D9013D" w:rsidRDefault="00945A32" w:rsidP="00B5032F">
            <w:pPr>
              <w:spacing w:after="60"/>
              <w:rPr>
                <w:sz w:val="20"/>
                <w:szCs w:val="20"/>
              </w:rPr>
            </w:pPr>
            <w:r w:rsidRPr="00D9013D">
              <w:rPr>
                <w:sz w:val="20"/>
                <w:szCs w:val="20"/>
              </w:rPr>
              <w:t>Approximately 300 members who are retired maintain the State HDHP and HSA coverage.</w:t>
            </w:r>
          </w:p>
          <w:p w14:paraId="7AB3D469" w14:textId="77777777" w:rsidR="00945A32" w:rsidRPr="00984F4A" w:rsidRDefault="00945A32" w:rsidP="00B5032F">
            <w:pPr>
              <w:rPr>
                <w:sz w:val="20"/>
                <w:szCs w:val="20"/>
              </w:rPr>
            </w:pPr>
            <w:r w:rsidRPr="00D9013D">
              <w:rPr>
                <w:sz w:val="20"/>
                <w:szCs w:val="20"/>
              </w:rPr>
              <w:t xml:space="preserve">Less than 100 members continue their FSA coverage through COBRA.  </w:t>
            </w:r>
          </w:p>
        </w:tc>
      </w:tr>
      <w:tr w:rsidR="00B27F16" w14:paraId="370C679F"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BA55FA" w14:textId="77777777" w:rsidR="00945A32" w:rsidRDefault="00945A32" w:rsidP="00B5032F">
            <w:pPr>
              <w:rPr>
                <w:sz w:val="20"/>
                <w:szCs w:val="20"/>
              </w:rPr>
            </w:pPr>
            <w:r>
              <w:rPr>
                <w:sz w:val="20"/>
                <w:szCs w:val="20"/>
              </w:rPr>
              <w:t>Q86</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7811052"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7D5BCB9D"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59F49B9" w14:textId="77777777" w:rsidR="00945A32" w:rsidRPr="00984F4A" w:rsidRDefault="00945A32" w:rsidP="00B5032F">
            <w:pPr>
              <w:rPr>
                <w:color w:val="000000"/>
                <w:sz w:val="20"/>
                <w:szCs w:val="20"/>
              </w:rPr>
            </w:pPr>
            <w:r w:rsidRPr="00984F4A">
              <w:rPr>
                <w:color w:val="000000"/>
                <w:sz w:val="20"/>
                <w:szCs w:val="20"/>
              </w:rPr>
              <w:t>Who manages the administration of the funded HRA?</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0ADC0DDC" w14:textId="77777777" w:rsidR="00945A32" w:rsidRPr="00984F4A" w:rsidRDefault="00945A32" w:rsidP="00B5032F">
            <w:pPr>
              <w:rPr>
                <w:sz w:val="20"/>
                <w:szCs w:val="20"/>
              </w:rPr>
            </w:pPr>
            <w:r w:rsidRPr="00D9013D">
              <w:rPr>
                <w:sz w:val="20"/>
                <w:szCs w:val="20"/>
              </w:rPr>
              <w:t>The Department does not offer an HRA.</w:t>
            </w:r>
          </w:p>
        </w:tc>
      </w:tr>
      <w:tr w:rsidR="00B27F16" w14:paraId="48E2FBC5"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F0092A" w14:textId="77777777" w:rsidR="00945A32" w:rsidRDefault="00945A32" w:rsidP="00B5032F">
            <w:pPr>
              <w:rPr>
                <w:sz w:val="20"/>
                <w:szCs w:val="20"/>
              </w:rPr>
            </w:pPr>
            <w:r>
              <w:rPr>
                <w:sz w:val="20"/>
                <w:szCs w:val="20"/>
              </w:rPr>
              <w:t>Q87</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C7843"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BE5A50"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9B7CD6" w14:textId="77777777" w:rsidR="00945A32" w:rsidRPr="00984F4A" w:rsidRDefault="00945A32" w:rsidP="00B5032F">
            <w:pPr>
              <w:rPr>
                <w:color w:val="000000"/>
                <w:sz w:val="20"/>
                <w:szCs w:val="20"/>
              </w:rPr>
            </w:pPr>
            <w:r w:rsidRPr="00984F4A">
              <w:rPr>
                <w:color w:val="000000"/>
                <w:sz w:val="20"/>
                <w:szCs w:val="20"/>
              </w:rPr>
              <w:t>In regard to working in partnership with the Department to champion member communication, engagement, and education. – what does the Department envision? What works well today?</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110C69" w14:textId="77777777" w:rsidR="00945A32" w:rsidRPr="00D9013D" w:rsidRDefault="00945A32" w:rsidP="00B5032F">
            <w:pPr>
              <w:spacing w:after="60"/>
              <w:rPr>
                <w:sz w:val="20"/>
                <w:szCs w:val="20"/>
              </w:rPr>
            </w:pPr>
            <w:r w:rsidRPr="00D9013D">
              <w:rPr>
                <w:sz w:val="20"/>
                <w:szCs w:val="20"/>
              </w:rPr>
              <w:t xml:space="preserve">The Department is looking for new ways to communicate and outreach to members that would help them better understand the </w:t>
            </w:r>
            <w:r w:rsidRPr="00D9013D" w:rsidDel="00882632">
              <w:rPr>
                <w:sz w:val="20"/>
                <w:szCs w:val="20"/>
              </w:rPr>
              <w:t>pre-tax</w:t>
            </w:r>
            <w:r>
              <w:rPr>
                <w:sz w:val="20"/>
                <w:szCs w:val="20"/>
              </w:rPr>
              <w:t xml:space="preserve"> Benefit P</w:t>
            </w:r>
            <w:r w:rsidRPr="00D9013D">
              <w:rPr>
                <w:sz w:val="20"/>
                <w:szCs w:val="20"/>
              </w:rPr>
              <w:t xml:space="preserve">rograms. </w:t>
            </w:r>
          </w:p>
          <w:p w14:paraId="3B15FCEC" w14:textId="77777777" w:rsidR="00945A32" w:rsidRPr="00D9013D" w:rsidRDefault="00945A32" w:rsidP="00B5032F">
            <w:pPr>
              <w:spacing w:after="60"/>
              <w:rPr>
                <w:sz w:val="20"/>
                <w:szCs w:val="20"/>
              </w:rPr>
            </w:pPr>
            <w:r w:rsidRPr="00D9013D">
              <w:rPr>
                <w:sz w:val="20"/>
                <w:szCs w:val="20"/>
              </w:rPr>
              <w:t xml:space="preserve">Current communication involves direct email messaging, online enrollment brochures, and resources on the microsite. </w:t>
            </w:r>
          </w:p>
          <w:p w14:paraId="5594CF56" w14:textId="77777777" w:rsidR="00945A32" w:rsidRPr="00984F4A" w:rsidRDefault="00945A32" w:rsidP="00B5032F">
            <w:pPr>
              <w:rPr>
                <w:sz w:val="20"/>
                <w:szCs w:val="20"/>
              </w:rPr>
            </w:pPr>
            <w:r w:rsidRPr="00D9013D">
              <w:rPr>
                <w:sz w:val="20"/>
                <w:szCs w:val="20"/>
              </w:rPr>
              <w:t xml:space="preserve">Quarterly engagement notification about the </w:t>
            </w:r>
            <w:r w:rsidRPr="00D9013D" w:rsidDel="005E3F38">
              <w:rPr>
                <w:sz w:val="20"/>
                <w:szCs w:val="20"/>
              </w:rPr>
              <w:t xml:space="preserve">pre-tax </w:t>
            </w:r>
            <w:r>
              <w:rPr>
                <w:sz w:val="20"/>
                <w:szCs w:val="20"/>
              </w:rPr>
              <w:t>Benefit P</w:t>
            </w:r>
            <w:r w:rsidRPr="00D9013D">
              <w:rPr>
                <w:sz w:val="20"/>
                <w:szCs w:val="20"/>
              </w:rPr>
              <w:t xml:space="preserve">rograms works well today.  </w:t>
            </w:r>
          </w:p>
        </w:tc>
      </w:tr>
      <w:tr w:rsidR="00B27F16" w14:paraId="0BD13C31"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E19320" w14:textId="77777777" w:rsidR="00945A32" w:rsidRDefault="00945A32" w:rsidP="00B5032F">
            <w:pPr>
              <w:rPr>
                <w:sz w:val="20"/>
                <w:szCs w:val="20"/>
              </w:rPr>
            </w:pPr>
            <w:r>
              <w:rPr>
                <w:sz w:val="20"/>
                <w:szCs w:val="20"/>
              </w:rPr>
              <w:t>Q88</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6D6154E"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6DFC33A4"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F560067" w14:textId="77777777" w:rsidR="00945A32" w:rsidRPr="00984F4A" w:rsidRDefault="00945A32" w:rsidP="00B5032F">
            <w:pPr>
              <w:rPr>
                <w:color w:val="000000"/>
                <w:sz w:val="20"/>
                <w:szCs w:val="20"/>
              </w:rPr>
            </w:pPr>
            <w:r w:rsidRPr="00984F4A">
              <w:rPr>
                <w:color w:val="000000"/>
                <w:sz w:val="20"/>
                <w:szCs w:val="20"/>
              </w:rPr>
              <w:t xml:space="preserve">What are the expectations around NDT, would the data be provided to the selected vendor in the proper format? </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215A69EE" w14:textId="77777777" w:rsidR="00945A32" w:rsidRDefault="00945A32" w:rsidP="00B5032F">
            <w:pPr>
              <w:spacing w:after="60"/>
              <w:rPr>
                <w:sz w:val="20"/>
                <w:szCs w:val="20"/>
              </w:rPr>
            </w:pPr>
            <w:r w:rsidRPr="00911D6E">
              <w:rPr>
                <w:sz w:val="20"/>
                <w:szCs w:val="20"/>
              </w:rPr>
              <w:t xml:space="preserve">Throughout the RFP and </w:t>
            </w:r>
            <w:r>
              <w:rPr>
                <w:sz w:val="20"/>
                <w:szCs w:val="20"/>
              </w:rPr>
              <w:t xml:space="preserve">ERA Commuter </w:t>
            </w:r>
            <w:r w:rsidRPr="00911D6E">
              <w:rPr>
                <w:sz w:val="20"/>
                <w:szCs w:val="20"/>
              </w:rPr>
              <w:t xml:space="preserve">Program Agreement there is additional information on </w:t>
            </w:r>
            <w:r>
              <w:rPr>
                <w:sz w:val="20"/>
                <w:szCs w:val="20"/>
              </w:rPr>
              <w:t xml:space="preserve">non-discrimination testing expectations/requirements.  </w:t>
            </w:r>
          </w:p>
          <w:p w14:paraId="249E8257" w14:textId="77777777" w:rsidR="00945A32" w:rsidRDefault="00945A32" w:rsidP="00B5032F">
            <w:pPr>
              <w:spacing w:after="60"/>
              <w:rPr>
                <w:sz w:val="20"/>
                <w:szCs w:val="20"/>
              </w:rPr>
            </w:pPr>
            <w:r w:rsidRPr="00D9013D">
              <w:rPr>
                <w:sz w:val="20"/>
                <w:szCs w:val="20"/>
              </w:rPr>
              <w:t>The Contractor will be responsible for non-discrimination testing and will work with the Payroll Centers and/or Department for the data that is needed to perform this service.</w:t>
            </w:r>
            <w:r>
              <w:rPr>
                <w:sz w:val="20"/>
                <w:szCs w:val="20"/>
              </w:rPr>
              <w:t xml:space="preserve"> </w:t>
            </w:r>
          </w:p>
          <w:p w14:paraId="6FFB03E4" w14:textId="77777777" w:rsidR="00945A32" w:rsidRPr="00984F4A" w:rsidRDefault="00945A32" w:rsidP="00B5032F">
            <w:pPr>
              <w:rPr>
                <w:sz w:val="20"/>
                <w:szCs w:val="20"/>
              </w:rPr>
            </w:pPr>
            <w:r>
              <w:rPr>
                <w:sz w:val="20"/>
                <w:szCs w:val="20"/>
              </w:rPr>
              <w:t xml:space="preserve">Payroll Centers utilize a standard file format for non-discrimination testing data submissions to the contractor. </w:t>
            </w:r>
          </w:p>
        </w:tc>
      </w:tr>
      <w:tr w:rsidR="00B27F16" w14:paraId="3D6B1BED"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FEC8BD" w14:textId="77777777" w:rsidR="00945A32" w:rsidRDefault="00945A32" w:rsidP="00B5032F">
            <w:pPr>
              <w:rPr>
                <w:sz w:val="20"/>
                <w:szCs w:val="20"/>
              </w:rPr>
            </w:pPr>
            <w:r>
              <w:rPr>
                <w:sz w:val="20"/>
                <w:szCs w:val="20"/>
              </w:rPr>
              <w:t>Q89</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7E98D"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77BFD5"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0720B9" w14:textId="77777777" w:rsidR="00945A32" w:rsidRPr="00984F4A" w:rsidRDefault="00945A32" w:rsidP="00B5032F">
            <w:pPr>
              <w:rPr>
                <w:color w:val="000000"/>
                <w:sz w:val="20"/>
                <w:szCs w:val="20"/>
              </w:rPr>
            </w:pPr>
            <w:r w:rsidRPr="00984F4A">
              <w:rPr>
                <w:color w:val="000000"/>
                <w:sz w:val="20"/>
                <w:szCs w:val="20"/>
              </w:rPr>
              <w:t>Do we have permission to utilize the Department’s logo for the purpose of a finalist presentation to demonstrate cobranding abilities?</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F4AF2" w14:textId="77777777" w:rsidR="00945A32" w:rsidRPr="00984F4A" w:rsidRDefault="00945A32" w:rsidP="00B5032F">
            <w:pPr>
              <w:rPr>
                <w:sz w:val="20"/>
                <w:szCs w:val="20"/>
              </w:rPr>
            </w:pPr>
            <w:r w:rsidRPr="00D9013D">
              <w:rPr>
                <w:sz w:val="20"/>
                <w:szCs w:val="20"/>
              </w:rPr>
              <w:t xml:space="preserve">No, the Department will not allow co-branding for the purposes of a finalist presentation. The Department allows co-branding with contracted vendors only. </w:t>
            </w:r>
          </w:p>
        </w:tc>
      </w:tr>
      <w:tr w:rsidR="00B27F16" w14:paraId="712F7223"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1B3028" w14:textId="77777777" w:rsidR="00945A32" w:rsidRDefault="00945A32" w:rsidP="00B5032F">
            <w:pPr>
              <w:rPr>
                <w:sz w:val="20"/>
                <w:szCs w:val="20"/>
              </w:rPr>
            </w:pPr>
            <w:r>
              <w:rPr>
                <w:sz w:val="20"/>
                <w:szCs w:val="20"/>
              </w:rPr>
              <w:t>Q90</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B135F4D"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513BCE9C"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E721501" w14:textId="77777777" w:rsidR="00945A32" w:rsidRPr="00984F4A" w:rsidRDefault="00945A32" w:rsidP="00B5032F">
            <w:pPr>
              <w:rPr>
                <w:color w:val="000000"/>
                <w:sz w:val="20"/>
                <w:szCs w:val="20"/>
              </w:rPr>
            </w:pPr>
            <w:r w:rsidRPr="00984F4A">
              <w:rPr>
                <w:color w:val="000000"/>
                <w:sz w:val="20"/>
                <w:szCs w:val="20"/>
              </w:rPr>
              <w:t xml:space="preserve">Who would be responsible for the overall </w:t>
            </w:r>
            <w:r w:rsidRPr="00984F4A">
              <w:rPr>
                <w:color w:val="000000"/>
                <w:sz w:val="20"/>
                <w:szCs w:val="20"/>
              </w:rPr>
              <w:lastRenderedPageBreak/>
              <w:t>implementation, a centralized team at the Department, or contacts from each individual state/employer group?</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799CBB80" w14:textId="77777777" w:rsidR="00945A32" w:rsidRPr="00D9013D" w:rsidRDefault="00945A32" w:rsidP="00B5032F">
            <w:pPr>
              <w:spacing w:after="60"/>
              <w:rPr>
                <w:sz w:val="20"/>
                <w:szCs w:val="20"/>
              </w:rPr>
            </w:pPr>
            <w:r w:rsidRPr="00D9013D">
              <w:rPr>
                <w:sz w:val="20"/>
                <w:szCs w:val="20"/>
              </w:rPr>
              <w:lastRenderedPageBreak/>
              <w:t>The Contractor is responsible for the overall implementation.</w:t>
            </w:r>
          </w:p>
          <w:p w14:paraId="0CD20C53" w14:textId="77777777" w:rsidR="00945A32" w:rsidRPr="00984F4A" w:rsidRDefault="00945A32" w:rsidP="00B5032F">
            <w:pPr>
              <w:rPr>
                <w:sz w:val="20"/>
                <w:szCs w:val="20"/>
              </w:rPr>
            </w:pPr>
            <w:r w:rsidRPr="00D9013D">
              <w:rPr>
                <w:sz w:val="20"/>
                <w:szCs w:val="20"/>
              </w:rPr>
              <w:lastRenderedPageBreak/>
              <w:t xml:space="preserve">The Department will have a centralized team working with the Contractor’s implementation team. There may be additional staff at the Payroll Centers who assist with file testing during implementation. </w:t>
            </w:r>
          </w:p>
        </w:tc>
      </w:tr>
      <w:tr w:rsidR="00B27F16" w14:paraId="6E78E1E7"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3AAC70" w14:textId="77777777" w:rsidR="00945A32" w:rsidRDefault="00945A32" w:rsidP="00B5032F">
            <w:pPr>
              <w:rPr>
                <w:sz w:val="20"/>
                <w:szCs w:val="20"/>
              </w:rPr>
            </w:pPr>
            <w:r>
              <w:rPr>
                <w:sz w:val="20"/>
                <w:szCs w:val="20"/>
              </w:rPr>
              <w:lastRenderedPageBreak/>
              <w:t>Q91</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9F62B1E"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E0DCFE"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8AAD81" w14:textId="77777777" w:rsidR="00945A32" w:rsidRPr="00984F4A" w:rsidRDefault="00945A32" w:rsidP="00B5032F">
            <w:pPr>
              <w:rPr>
                <w:color w:val="000000"/>
                <w:sz w:val="20"/>
                <w:szCs w:val="20"/>
              </w:rPr>
            </w:pPr>
            <w:r w:rsidRPr="00984F4A">
              <w:rPr>
                <w:color w:val="000000"/>
                <w:sz w:val="20"/>
                <w:szCs w:val="20"/>
              </w:rPr>
              <w:t>Are the state/employer groups set up under the master account? Does the Department have data-access to all entities, or must data be designated only to specific contacts for each state/employer group?</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EEE4D" w14:textId="77777777" w:rsidR="00945A32" w:rsidRPr="00984F4A" w:rsidRDefault="00945A32" w:rsidP="00B5032F">
            <w:pPr>
              <w:rPr>
                <w:sz w:val="20"/>
                <w:szCs w:val="20"/>
              </w:rPr>
            </w:pPr>
            <w:r w:rsidRPr="00D9013D">
              <w:rPr>
                <w:sz w:val="20"/>
                <w:szCs w:val="20"/>
              </w:rPr>
              <w:t xml:space="preserve">See </w:t>
            </w:r>
            <w:r>
              <w:rPr>
                <w:sz w:val="20"/>
                <w:szCs w:val="20"/>
              </w:rPr>
              <w:t xml:space="preserve">the </w:t>
            </w:r>
            <w:r w:rsidRPr="00D9013D">
              <w:rPr>
                <w:sz w:val="20"/>
                <w:szCs w:val="20"/>
              </w:rPr>
              <w:t>response to Q65.</w:t>
            </w:r>
          </w:p>
        </w:tc>
      </w:tr>
      <w:tr w:rsidR="00B27F16" w14:paraId="09AC0CFB"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7F4445" w14:textId="77777777" w:rsidR="00945A32" w:rsidRDefault="00945A32" w:rsidP="00B5032F">
            <w:pPr>
              <w:rPr>
                <w:sz w:val="20"/>
                <w:szCs w:val="20"/>
              </w:rPr>
            </w:pPr>
            <w:r>
              <w:rPr>
                <w:sz w:val="20"/>
                <w:szCs w:val="20"/>
              </w:rPr>
              <w:t>Q92</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36ACD87"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135B924E"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B088125" w14:textId="77777777" w:rsidR="00945A32" w:rsidRPr="00984F4A" w:rsidRDefault="00945A32" w:rsidP="00B5032F">
            <w:pPr>
              <w:rPr>
                <w:color w:val="000000"/>
                <w:sz w:val="20"/>
                <w:szCs w:val="20"/>
              </w:rPr>
            </w:pPr>
            <w:r w:rsidRPr="00984F4A">
              <w:rPr>
                <w:color w:val="000000"/>
                <w:sz w:val="20"/>
                <w:szCs w:val="20"/>
              </w:rPr>
              <w:t>How often do employees move between agencies/groups?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504F34DE" w14:textId="77777777" w:rsidR="00945A32" w:rsidRPr="00984F4A" w:rsidRDefault="00945A32" w:rsidP="00B5032F">
            <w:pPr>
              <w:rPr>
                <w:sz w:val="20"/>
                <w:szCs w:val="20"/>
              </w:rPr>
            </w:pPr>
            <w:r w:rsidRPr="00D9013D">
              <w:rPr>
                <w:rStyle w:val="cf01"/>
                <w:sz w:val="20"/>
                <w:szCs w:val="20"/>
              </w:rPr>
              <w:t>The Department does not track this information.</w:t>
            </w:r>
          </w:p>
        </w:tc>
      </w:tr>
      <w:tr w:rsidR="00B27F16" w14:paraId="789478BB"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7AB4FA" w14:textId="77777777" w:rsidR="00945A32" w:rsidRDefault="00945A32" w:rsidP="00B5032F">
            <w:pPr>
              <w:rPr>
                <w:sz w:val="20"/>
                <w:szCs w:val="20"/>
              </w:rPr>
            </w:pPr>
            <w:r>
              <w:rPr>
                <w:sz w:val="20"/>
                <w:szCs w:val="20"/>
              </w:rPr>
              <w:t>Q93</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7DB2B7"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3DCC6E"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D86969" w14:textId="77777777" w:rsidR="00945A32" w:rsidRPr="00984F4A" w:rsidRDefault="00945A32" w:rsidP="00B5032F">
            <w:pPr>
              <w:rPr>
                <w:color w:val="000000"/>
                <w:sz w:val="20"/>
                <w:szCs w:val="20"/>
              </w:rPr>
            </w:pPr>
            <w:r w:rsidRPr="00984F4A">
              <w:rPr>
                <w:color w:val="000000"/>
                <w:sz w:val="20"/>
                <w:szCs w:val="20"/>
              </w:rPr>
              <w:t>What are the payroll schedules? How many are there?</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50A5A1" w14:textId="77777777" w:rsidR="00945A32" w:rsidRDefault="00945A32" w:rsidP="00B5032F">
            <w:pPr>
              <w:spacing w:after="60"/>
              <w:rPr>
                <w:sz w:val="20"/>
                <w:szCs w:val="20"/>
              </w:rPr>
            </w:pPr>
            <w:r>
              <w:rPr>
                <w:sz w:val="20"/>
                <w:szCs w:val="20"/>
              </w:rPr>
              <w:t xml:space="preserve">There are 9 different Payroll Centers and each of them </w:t>
            </w:r>
            <w:r w:rsidRPr="00D9013D">
              <w:rPr>
                <w:sz w:val="20"/>
                <w:szCs w:val="20"/>
              </w:rPr>
              <w:t xml:space="preserve">may </w:t>
            </w:r>
            <w:r>
              <w:rPr>
                <w:sz w:val="20"/>
                <w:szCs w:val="20"/>
              </w:rPr>
              <w:t xml:space="preserve">have a different pay schedule and/or </w:t>
            </w:r>
            <w:r w:rsidRPr="00D9013D">
              <w:rPr>
                <w:sz w:val="20"/>
                <w:szCs w:val="20"/>
              </w:rPr>
              <w:t xml:space="preserve">date. </w:t>
            </w:r>
            <w:r>
              <w:rPr>
                <w:sz w:val="20"/>
                <w:szCs w:val="20"/>
              </w:rPr>
              <w:t>P</w:t>
            </w:r>
            <w:r w:rsidRPr="00D9013D">
              <w:rPr>
                <w:sz w:val="20"/>
                <w:szCs w:val="20"/>
              </w:rPr>
              <w:t xml:space="preserve">ayroll </w:t>
            </w:r>
            <w:r>
              <w:rPr>
                <w:sz w:val="20"/>
                <w:szCs w:val="20"/>
              </w:rPr>
              <w:t>Center</w:t>
            </w:r>
            <w:r w:rsidRPr="00D9013D">
              <w:rPr>
                <w:sz w:val="20"/>
                <w:szCs w:val="20"/>
              </w:rPr>
              <w:t xml:space="preserve"> schedules are either bi-weekly or monthly. </w:t>
            </w:r>
          </w:p>
          <w:p w14:paraId="15EEEC14" w14:textId="77777777" w:rsidR="00945A32" w:rsidRPr="00D9013D" w:rsidRDefault="00945A32" w:rsidP="00B5032F">
            <w:pPr>
              <w:rPr>
                <w:sz w:val="20"/>
                <w:szCs w:val="20"/>
              </w:rPr>
            </w:pPr>
            <w:r w:rsidRPr="00D9013D">
              <w:rPr>
                <w:sz w:val="20"/>
                <w:szCs w:val="20"/>
              </w:rPr>
              <w:t xml:space="preserve">See Appendix 6, Section 120D.3. </w:t>
            </w:r>
          </w:p>
          <w:p w14:paraId="09E385E6" w14:textId="77777777" w:rsidR="00945A32" w:rsidRPr="00984F4A" w:rsidRDefault="00945A32" w:rsidP="00B5032F">
            <w:pPr>
              <w:rPr>
                <w:sz w:val="20"/>
                <w:szCs w:val="20"/>
              </w:rPr>
            </w:pPr>
            <w:r w:rsidRPr="00D9013D">
              <w:rPr>
                <w:sz w:val="20"/>
                <w:szCs w:val="20"/>
              </w:rPr>
              <w:t>See Appendix 7, Section 125F.3</w:t>
            </w:r>
            <w:r>
              <w:rPr>
                <w:sz w:val="20"/>
                <w:szCs w:val="20"/>
              </w:rPr>
              <w:t xml:space="preserve">. </w:t>
            </w:r>
          </w:p>
        </w:tc>
      </w:tr>
      <w:tr w:rsidR="00B27F16" w14:paraId="503E9D2C"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E89644" w14:textId="77777777" w:rsidR="00945A32" w:rsidRDefault="00945A32" w:rsidP="00B5032F">
            <w:pPr>
              <w:rPr>
                <w:sz w:val="20"/>
                <w:szCs w:val="20"/>
              </w:rPr>
            </w:pPr>
            <w:r>
              <w:rPr>
                <w:sz w:val="20"/>
                <w:szCs w:val="20"/>
              </w:rPr>
              <w:t>Q94</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FD9A41D"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3B79DEA7"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D5F78A5" w14:textId="77777777" w:rsidR="00945A32" w:rsidRPr="00984F4A" w:rsidRDefault="00945A32" w:rsidP="00B5032F">
            <w:pPr>
              <w:rPr>
                <w:color w:val="000000"/>
                <w:sz w:val="20"/>
                <w:szCs w:val="20"/>
              </w:rPr>
            </w:pPr>
            <w:r w:rsidRPr="00984F4A">
              <w:rPr>
                <w:color w:val="000000"/>
                <w:sz w:val="20"/>
                <w:szCs w:val="20"/>
              </w:rPr>
              <w:t>Does each entity have a separate Tax ID?</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62A432D2" w14:textId="77777777" w:rsidR="00945A32" w:rsidRPr="00984F4A" w:rsidRDefault="00945A32" w:rsidP="00B5032F">
            <w:pPr>
              <w:rPr>
                <w:sz w:val="20"/>
                <w:szCs w:val="20"/>
              </w:rPr>
            </w:pPr>
            <w:r>
              <w:rPr>
                <w:sz w:val="20"/>
                <w:szCs w:val="20"/>
              </w:rPr>
              <w:t xml:space="preserve">Yes, each Payroll </w:t>
            </w:r>
            <w:r w:rsidRPr="00D9013D">
              <w:rPr>
                <w:sz w:val="20"/>
                <w:szCs w:val="20"/>
              </w:rPr>
              <w:t>Center has</w:t>
            </w:r>
            <w:r>
              <w:rPr>
                <w:sz w:val="20"/>
                <w:szCs w:val="20"/>
              </w:rPr>
              <w:t xml:space="preserve"> a different Tax ID. </w:t>
            </w:r>
          </w:p>
        </w:tc>
      </w:tr>
      <w:tr w:rsidR="00B27F16" w14:paraId="16ABFB96"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2076A1" w14:textId="77777777" w:rsidR="00945A32" w:rsidRDefault="00945A32" w:rsidP="00B5032F">
            <w:pPr>
              <w:rPr>
                <w:sz w:val="20"/>
                <w:szCs w:val="20"/>
              </w:rPr>
            </w:pPr>
            <w:r>
              <w:rPr>
                <w:sz w:val="20"/>
                <w:szCs w:val="20"/>
              </w:rPr>
              <w:t>Q95</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3C991"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0899AA"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FBEE5D" w14:textId="77777777" w:rsidR="00945A32" w:rsidRPr="00984F4A" w:rsidRDefault="00945A32" w:rsidP="00B5032F">
            <w:pPr>
              <w:rPr>
                <w:color w:val="000000"/>
                <w:sz w:val="20"/>
                <w:szCs w:val="20"/>
              </w:rPr>
            </w:pPr>
            <w:r w:rsidRPr="00984F4A">
              <w:rPr>
                <w:color w:val="000000"/>
                <w:sz w:val="20"/>
                <w:szCs w:val="20"/>
              </w:rPr>
              <w:t>Does each entity pay their own invoice, or does the Department manage payment for all entities under the umbrella?</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F45D4D" w14:textId="77777777" w:rsidR="00945A32" w:rsidRPr="00984F4A" w:rsidRDefault="00945A32" w:rsidP="00B5032F">
            <w:pPr>
              <w:rPr>
                <w:sz w:val="20"/>
                <w:szCs w:val="20"/>
              </w:rPr>
            </w:pPr>
            <w:r>
              <w:rPr>
                <w:sz w:val="20"/>
                <w:szCs w:val="20"/>
              </w:rPr>
              <w:t xml:space="preserve">The Department </w:t>
            </w:r>
            <w:r w:rsidRPr="00D9013D">
              <w:rPr>
                <w:sz w:val="20"/>
                <w:szCs w:val="20"/>
              </w:rPr>
              <w:t xml:space="preserve">manages the </w:t>
            </w:r>
            <w:r>
              <w:rPr>
                <w:sz w:val="20"/>
                <w:szCs w:val="20"/>
              </w:rPr>
              <w:t xml:space="preserve">administrative fees for all Benefit Programs and claims </w:t>
            </w:r>
            <w:r w:rsidRPr="00D9013D">
              <w:rPr>
                <w:sz w:val="20"/>
                <w:szCs w:val="20"/>
              </w:rPr>
              <w:t>payments</w:t>
            </w:r>
            <w:r>
              <w:rPr>
                <w:sz w:val="20"/>
                <w:szCs w:val="20"/>
              </w:rPr>
              <w:t xml:space="preserve"> for FSA, DCAP, LPFSA, and Commuter Benefit Programs for the Payroll Centers. </w:t>
            </w:r>
          </w:p>
        </w:tc>
      </w:tr>
      <w:tr w:rsidR="00B27F16" w14:paraId="4DEB217B"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DF6E34" w14:textId="77777777" w:rsidR="00945A32" w:rsidRDefault="00945A32" w:rsidP="00B5032F">
            <w:pPr>
              <w:rPr>
                <w:sz w:val="20"/>
                <w:szCs w:val="20"/>
              </w:rPr>
            </w:pPr>
            <w:r>
              <w:rPr>
                <w:sz w:val="20"/>
                <w:szCs w:val="20"/>
              </w:rPr>
              <w:t>Q96</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C93A106"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06953EBF"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694D784" w14:textId="77777777" w:rsidR="00945A32" w:rsidRPr="00984F4A" w:rsidRDefault="00945A32" w:rsidP="00B5032F">
            <w:pPr>
              <w:rPr>
                <w:color w:val="000000"/>
                <w:sz w:val="20"/>
                <w:szCs w:val="20"/>
              </w:rPr>
            </w:pPr>
            <w:r w:rsidRPr="00984F4A">
              <w:rPr>
                <w:color w:val="000000"/>
                <w:sz w:val="20"/>
                <w:szCs w:val="20"/>
              </w:rPr>
              <w:t>Could a census be provided of a break out of benefits eligible for each state/employer group included under the Department?</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371CAA49" w14:textId="77777777" w:rsidR="00945A32" w:rsidRDefault="00945A32" w:rsidP="00B5032F">
            <w:pPr>
              <w:rPr>
                <w:sz w:val="20"/>
                <w:szCs w:val="20"/>
              </w:rPr>
            </w:pPr>
            <w:r>
              <w:rPr>
                <w:sz w:val="20"/>
                <w:szCs w:val="20"/>
              </w:rPr>
              <w:t xml:space="preserve">A census file will be provided after a Contract(s) is executed. </w:t>
            </w:r>
          </w:p>
          <w:p w14:paraId="61BD895C" w14:textId="77777777" w:rsidR="00945A32" w:rsidRDefault="00945A32" w:rsidP="00B5032F">
            <w:pPr>
              <w:rPr>
                <w:sz w:val="20"/>
                <w:szCs w:val="20"/>
              </w:rPr>
            </w:pPr>
          </w:p>
          <w:p w14:paraId="3F4B7C44" w14:textId="77777777" w:rsidR="00945A32" w:rsidRPr="00984F4A" w:rsidRDefault="00945A32" w:rsidP="00B5032F">
            <w:pPr>
              <w:rPr>
                <w:sz w:val="20"/>
                <w:szCs w:val="20"/>
              </w:rPr>
            </w:pPr>
          </w:p>
        </w:tc>
      </w:tr>
      <w:tr w:rsidR="00B27F16" w14:paraId="52B57606"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705149" w14:textId="77777777" w:rsidR="00945A32" w:rsidRDefault="00945A32" w:rsidP="00B5032F">
            <w:pPr>
              <w:rPr>
                <w:sz w:val="20"/>
                <w:szCs w:val="20"/>
              </w:rPr>
            </w:pPr>
            <w:r>
              <w:rPr>
                <w:sz w:val="20"/>
                <w:szCs w:val="20"/>
              </w:rPr>
              <w:t>Q97</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EB430B"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7801EA"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EE7734" w14:textId="77777777" w:rsidR="00945A32" w:rsidRPr="00984F4A" w:rsidRDefault="00945A32" w:rsidP="00B5032F">
            <w:pPr>
              <w:rPr>
                <w:color w:val="000000"/>
                <w:sz w:val="20"/>
                <w:szCs w:val="20"/>
              </w:rPr>
            </w:pPr>
            <w:r w:rsidRPr="00984F4A">
              <w:rPr>
                <w:color w:val="000000"/>
                <w:sz w:val="20"/>
                <w:szCs w:val="20"/>
              </w:rPr>
              <w:t>Must all entities under the Department move forward with the selected provider, or do they have an option to deviate and utilize a separate vendor?</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5FCFD9" w14:textId="77777777" w:rsidR="00945A32" w:rsidRPr="00984F4A" w:rsidRDefault="00945A32" w:rsidP="00B5032F">
            <w:pPr>
              <w:rPr>
                <w:sz w:val="20"/>
                <w:szCs w:val="20"/>
              </w:rPr>
            </w:pPr>
            <w:r w:rsidRPr="00D9013D">
              <w:rPr>
                <w:sz w:val="20"/>
                <w:szCs w:val="20"/>
              </w:rPr>
              <w:t>All</w:t>
            </w:r>
            <w:r>
              <w:rPr>
                <w:sz w:val="20"/>
                <w:szCs w:val="20"/>
              </w:rPr>
              <w:t xml:space="preserve"> State Payroll Centers and the Employers under them </w:t>
            </w:r>
            <w:r w:rsidRPr="00D9013D">
              <w:rPr>
                <w:sz w:val="20"/>
                <w:szCs w:val="20"/>
              </w:rPr>
              <w:t xml:space="preserve">are required to use </w:t>
            </w:r>
            <w:r w:rsidRPr="00D9013D" w:rsidDel="00CC57B3">
              <w:rPr>
                <w:sz w:val="20"/>
                <w:szCs w:val="20"/>
              </w:rPr>
              <w:t xml:space="preserve">the </w:t>
            </w:r>
            <w:r>
              <w:rPr>
                <w:sz w:val="20"/>
                <w:szCs w:val="20"/>
              </w:rPr>
              <w:t>pre-tax B</w:t>
            </w:r>
            <w:r w:rsidRPr="00D9013D">
              <w:rPr>
                <w:sz w:val="20"/>
                <w:szCs w:val="20"/>
              </w:rPr>
              <w:t>enefit</w:t>
            </w:r>
            <w:r>
              <w:rPr>
                <w:sz w:val="20"/>
                <w:szCs w:val="20"/>
              </w:rPr>
              <w:t xml:space="preserve"> Programs</w:t>
            </w:r>
            <w:r w:rsidRPr="00D9013D">
              <w:rPr>
                <w:sz w:val="20"/>
                <w:szCs w:val="20"/>
              </w:rPr>
              <w:t xml:space="preserve"> </w:t>
            </w:r>
            <w:r>
              <w:rPr>
                <w:sz w:val="20"/>
                <w:szCs w:val="20"/>
              </w:rPr>
              <w:t xml:space="preserve">offered by </w:t>
            </w:r>
            <w:r w:rsidRPr="00D9013D">
              <w:rPr>
                <w:sz w:val="20"/>
                <w:szCs w:val="20"/>
              </w:rPr>
              <w:t>the Contractor</w:t>
            </w:r>
            <w:r>
              <w:rPr>
                <w:sz w:val="20"/>
                <w:szCs w:val="20"/>
              </w:rPr>
              <w:t>(s) that has contracted with the Department (there is no option to deviate and utilize a separate vendor).</w:t>
            </w:r>
            <w:r w:rsidRPr="00D9013D" w:rsidDel="00243564">
              <w:rPr>
                <w:sz w:val="20"/>
                <w:szCs w:val="20"/>
              </w:rPr>
              <w:t xml:space="preserve"> </w:t>
            </w:r>
          </w:p>
        </w:tc>
      </w:tr>
      <w:tr w:rsidR="00B27F16" w14:paraId="09A372F1"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7D94E1" w14:textId="77777777" w:rsidR="00945A32" w:rsidRDefault="00945A32" w:rsidP="00B5032F">
            <w:pPr>
              <w:rPr>
                <w:sz w:val="20"/>
                <w:szCs w:val="20"/>
              </w:rPr>
            </w:pPr>
            <w:r>
              <w:rPr>
                <w:sz w:val="20"/>
                <w:szCs w:val="20"/>
              </w:rPr>
              <w:t>Q98</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C54744"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2D4BD924"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1D60109" w14:textId="77777777" w:rsidR="00945A32" w:rsidRPr="00984F4A" w:rsidRDefault="00945A32" w:rsidP="00B5032F">
            <w:pPr>
              <w:rPr>
                <w:color w:val="000000"/>
                <w:sz w:val="20"/>
                <w:szCs w:val="20"/>
              </w:rPr>
            </w:pPr>
            <w:r w:rsidRPr="00984F4A">
              <w:rPr>
                <w:color w:val="000000"/>
                <w:sz w:val="20"/>
                <w:szCs w:val="20"/>
              </w:rPr>
              <w:t>Is there consistency in the FSA plan designs across all entities?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19F290A3" w14:textId="77777777" w:rsidR="00945A32" w:rsidRPr="00984F4A" w:rsidRDefault="00945A32" w:rsidP="00B5032F">
            <w:pPr>
              <w:rPr>
                <w:sz w:val="20"/>
                <w:szCs w:val="20"/>
              </w:rPr>
            </w:pPr>
            <w:r w:rsidRPr="00D9013D">
              <w:rPr>
                <w:sz w:val="20"/>
                <w:szCs w:val="20"/>
              </w:rPr>
              <w:t>Yes, the FSA plan design is the same for all State</w:t>
            </w:r>
            <w:r w:rsidRPr="00D9013D" w:rsidDel="00FE7F9F">
              <w:rPr>
                <w:sz w:val="20"/>
                <w:szCs w:val="20"/>
              </w:rPr>
              <w:t xml:space="preserve"> </w:t>
            </w:r>
            <w:r w:rsidRPr="00D9013D">
              <w:rPr>
                <w:sz w:val="20"/>
                <w:szCs w:val="20"/>
              </w:rPr>
              <w:t>employers.</w:t>
            </w:r>
          </w:p>
        </w:tc>
      </w:tr>
      <w:tr w:rsidR="00B27F16" w14:paraId="6CBC5E29"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7D4417" w14:textId="77777777" w:rsidR="00945A32" w:rsidRDefault="00945A32" w:rsidP="00B5032F">
            <w:pPr>
              <w:rPr>
                <w:sz w:val="20"/>
                <w:szCs w:val="20"/>
              </w:rPr>
            </w:pPr>
            <w:r>
              <w:rPr>
                <w:sz w:val="20"/>
                <w:szCs w:val="20"/>
              </w:rPr>
              <w:lastRenderedPageBreak/>
              <w:t>Q99</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AA1D92"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3D1D24"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E93C346" w14:textId="77777777" w:rsidR="00945A32" w:rsidRPr="00984F4A" w:rsidRDefault="00945A32" w:rsidP="00B5032F">
            <w:pPr>
              <w:rPr>
                <w:color w:val="000000"/>
                <w:sz w:val="20"/>
                <w:szCs w:val="20"/>
              </w:rPr>
            </w:pPr>
            <w:r w:rsidRPr="00984F4A">
              <w:rPr>
                <w:color w:val="000000"/>
                <w:sz w:val="20"/>
                <w:szCs w:val="20"/>
              </w:rPr>
              <w:t>Is there consistency in the renewal/start dates across all entities?</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B71C0F" w14:textId="77777777" w:rsidR="00945A32" w:rsidRPr="00984F4A" w:rsidRDefault="00945A32" w:rsidP="00B5032F">
            <w:pPr>
              <w:rPr>
                <w:sz w:val="20"/>
                <w:szCs w:val="20"/>
              </w:rPr>
            </w:pPr>
            <w:r w:rsidRPr="00D9013D">
              <w:rPr>
                <w:sz w:val="20"/>
                <w:szCs w:val="20"/>
              </w:rPr>
              <w:t xml:space="preserve">Yes, the Department’s policy, eligibility, enrollment, termination, and COBRA apply the same across all State employers. </w:t>
            </w:r>
          </w:p>
        </w:tc>
      </w:tr>
      <w:tr w:rsidR="00B27F16" w14:paraId="661ECE7D"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754E9F" w14:textId="77777777" w:rsidR="00945A32" w:rsidRDefault="00945A32" w:rsidP="00B5032F">
            <w:pPr>
              <w:rPr>
                <w:sz w:val="20"/>
                <w:szCs w:val="20"/>
              </w:rPr>
            </w:pPr>
            <w:r>
              <w:rPr>
                <w:sz w:val="20"/>
                <w:szCs w:val="20"/>
              </w:rPr>
              <w:t>Q100</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C55E9D3"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66F8291A"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94DC866" w14:textId="77777777" w:rsidR="00945A32" w:rsidRPr="00984F4A" w:rsidRDefault="00945A32" w:rsidP="00B5032F">
            <w:pPr>
              <w:rPr>
                <w:color w:val="000000"/>
                <w:sz w:val="20"/>
                <w:szCs w:val="20"/>
              </w:rPr>
            </w:pPr>
            <w:r w:rsidRPr="00984F4A">
              <w:rPr>
                <w:color w:val="000000"/>
                <w:sz w:val="20"/>
                <w:szCs w:val="20"/>
              </w:rPr>
              <w:t>How does reporting work today? Is one report pulled for all entities?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180DD7DC" w14:textId="77777777" w:rsidR="00945A32" w:rsidRPr="00984F4A" w:rsidRDefault="00945A32" w:rsidP="00B5032F">
            <w:pPr>
              <w:rPr>
                <w:sz w:val="20"/>
                <w:szCs w:val="20"/>
              </w:rPr>
            </w:pPr>
            <w:r w:rsidRPr="00D9013D">
              <w:rPr>
                <w:sz w:val="20"/>
                <w:szCs w:val="20"/>
              </w:rPr>
              <w:t xml:space="preserve">The Department can pull reporting for all entities in a single report. Payroll Centers pull reporting for their </w:t>
            </w:r>
            <w:r>
              <w:rPr>
                <w:sz w:val="20"/>
                <w:szCs w:val="20"/>
              </w:rPr>
              <w:t xml:space="preserve"> Employee </w:t>
            </w:r>
            <w:r w:rsidRPr="00D9013D">
              <w:rPr>
                <w:sz w:val="20"/>
                <w:szCs w:val="20"/>
              </w:rPr>
              <w:t xml:space="preserve">population only. </w:t>
            </w:r>
          </w:p>
        </w:tc>
      </w:tr>
      <w:tr w:rsidR="00B27F16" w14:paraId="6D4CE177"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E47AC2" w14:textId="77777777" w:rsidR="00945A32" w:rsidRDefault="00945A32" w:rsidP="00B5032F">
            <w:pPr>
              <w:rPr>
                <w:sz w:val="20"/>
                <w:szCs w:val="20"/>
              </w:rPr>
            </w:pPr>
            <w:r>
              <w:rPr>
                <w:sz w:val="20"/>
                <w:szCs w:val="20"/>
              </w:rPr>
              <w:t>Q101</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464D27" w14:textId="77777777" w:rsidR="00945A32" w:rsidRPr="00984F4A"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0AA17F" w14:textId="77777777" w:rsidR="00945A32" w:rsidRPr="00984F4A"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22DD3" w14:textId="77777777" w:rsidR="00945A32" w:rsidRPr="00984F4A" w:rsidRDefault="00945A32" w:rsidP="00B5032F">
            <w:pPr>
              <w:rPr>
                <w:color w:val="000000"/>
                <w:sz w:val="20"/>
                <w:szCs w:val="20"/>
              </w:rPr>
            </w:pPr>
            <w:r w:rsidRPr="00984F4A">
              <w:rPr>
                <w:color w:val="000000"/>
                <w:sz w:val="20"/>
                <w:szCs w:val="20"/>
              </w:rPr>
              <w:t>Do all 1,500 groups need to be set up separately, or is there another means of breaking out divisions under the Department?</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04C354" w14:textId="77777777" w:rsidR="00945A32" w:rsidRDefault="00945A32" w:rsidP="00B5032F">
            <w:pPr>
              <w:spacing w:after="60"/>
              <w:rPr>
                <w:sz w:val="20"/>
                <w:szCs w:val="20"/>
              </w:rPr>
            </w:pPr>
            <w:r w:rsidRPr="00D9013D">
              <w:rPr>
                <w:sz w:val="20"/>
                <w:szCs w:val="20"/>
              </w:rPr>
              <w:t xml:space="preserve">Currently, only the </w:t>
            </w:r>
            <w:r>
              <w:rPr>
                <w:sz w:val="20"/>
                <w:szCs w:val="20"/>
              </w:rPr>
              <w:t xml:space="preserve">9 </w:t>
            </w:r>
            <w:r w:rsidRPr="00D9013D">
              <w:rPr>
                <w:sz w:val="20"/>
                <w:szCs w:val="20"/>
              </w:rPr>
              <w:t>State</w:t>
            </w:r>
            <w:r w:rsidRPr="00D9013D" w:rsidDel="005F3EFA">
              <w:rPr>
                <w:sz w:val="20"/>
                <w:szCs w:val="20"/>
              </w:rPr>
              <w:t xml:space="preserve"> </w:t>
            </w:r>
            <w:r w:rsidRPr="00D9013D">
              <w:rPr>
                <w:sz w:val="20"/>
                <w:szCs w:val="20"/>
              </w:rPr>
              <w:t xml:space="preserve">Payroll Centers need to be set up. </w:t>
            </w:r>
          </w:p>
          <w:p w14:paraId="6DC658E3" w14:textId="77777777" w:rsidR="00945A32" w:rsidRPr="00984F4A" w:rsidRDefault="00945A32" w:rsidP="00B5032F">
            <w:pPr>
              <w:rPr>
                <w:sz w:val="20"/>
                <w:szCs w:val="20"/>
              </w:rPr>
            </w:pPr>
            <w:r w:rsidRPr="00D9013D">
              <w:rPr>
                <w:sz w:val="20"/>
                <w:szCs w:val="20"/>
              </w:rPr>
              <w:t xml:space="preserve">See the response to Q33. </w:t>
            </w:r>
          </w:p>
        </w:tc>
      </w:tr>
      <w:tr w:rsidR="00B27F16" w14:paraId="4B3AD807"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728CBD" w14:textId="77777777" w:rsidR="00945A32" w:rsidRDefault="00945A32" w:rsidP="00B5032F">
            <w:pPr>
              <w:rPr>
                <w:sz w:val="20"/>
                <w:szCs w:val="20"/>
              </w:rPr>
            </w:pPr>
            <w:r>
              <w:rPr>
                <w:sz w:val="20"/>
                <w:szCs w:val="20"/>
              </w:rPr>
              <w:t>Q102</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A8E07E6" w14:textId="77777777" w:rsidR="00945A32" w:rsidRPr="00984F4A" w:rsidRDefault="00945A32" w:rsidP="00B5032F">
            <w:pPr>
              <w:rPr>
                <w:sz w:val="20"/>
                <w:szCs w:val="20"/>
              </w:rPr>
            </w:pPr>
            <w:r w:rsidRPr="00984F4A">
              <w:rPr>
                <w:sz w:val="20"/>
                <w:szCs w:val="20"/>
              </w:rPr>
              <w:t>Terms and Conditions</w:t>
            </w: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D1E935" w14:textId="77777777" w:rsidR="00945A32" w:rsidRPr="00984F4A" w:rsidRDefault="00945A32" w:rsidP="00B5032F">
            <w:pPr>
              <w:rPr>
                <w:sz w:val="20"/>
                <w:szCs w:val="20"/>
              </w:rPr>
            </w:pPr>
            <w:r w:rsidRPr="00984F4A">
              <w:rPr>
                <w:sz w:val="20"/>
                <w:szCs w:val="20"/>
              </w:rPr>
              <w:t>Page 12</w:t>
            </w: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0EC6A66" w14:textId="77777777" w:rsidR="00945A32" w:rsidRPr="00984F4A" w:rsidRDefault="00945A32" w:rsidP="00B5032F">
            <w:pPr>
              <w:rPr>
                <w:color w:val="000000"/>
                <w:sz w:val="20"/>
                <w:szCs w:val="20"/>
              </w:rPr>
            </w:pPr>
            <w:r w:rsidRPr="00984F4A">
              <w:rPr>
                <w:color w:val="000000"/>
                <w:sz w:val="20"/>
                <w:szCs w:val="20"/>
              </w:rPr>
              <w:t>Is the Department willing for indemnification to be subject to a mutually agreeable cap? We cannot quote on an uncapped liability basis.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18BAA439" w14:textId="77777777" w:rsidR="00945A32" w:rsidRPr="00984F4A" w:rsidRDefault="00945A32" w:rsidP="00B5032F">
            <w:pPr>
              <w:rPr>
                <w:sz w:val="20"/>
                <w:szCs w:val="20"/>
              </w:rPr>
            </w:pPr>
            <w:r>
              <w:rPr>
                <w:sz w:val="20"/>
                <w:szCs w:val="20"/>
              </w:rPr>
              <w:t>See the response to Q7.</w:t>
            </w:r>
          </w:p>
        </w:tc>
      </w:tr>
      <w:tr w:rsidR="00B27F16" w14:paraId="76154AE2"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7E5CA9" w14:textId="77777777" w:rsidR="00945A32" w:rsidRPr="005049A6" w:rsidRDefault="00945A32" w:rsidP="00B5032F">
            <w:pPr>
              <w:rPr>
                <w:sz w:val="20"/>
                <w:szCs w:val="20"/>
              </w:rPr>
            </w:pPr>
            <w:r w:rsidRPr="005049A6">
              <w:rPr>
                <w:sz w:val="20"/>
                <w:szCs w:val="20"/>
              </w:rPr>
              <w:t>Q1</w:t>
            </w:r>
            <w:r>
              <w:rPr>
                <w:sz w:val="20"/>
                <w:szCs w:val="20"/>
              </w:rPr>
              <w:t>03</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B58A40" w14:textId="77777777" w:rsidR="00945A32" w:rsidRPr="005049A6" w:rsidRDefault="00945A32" w:rsidP="00B5032F">
            <w:pPr>
              <w:rPr>
                <w:sz w:val="20"/>
                <w:szCs w:val="20"/>
              </w:rPr>
            </w:pPr>
            <w:r w:rsidRPr="00D9013D">
              <w:rPr>
                <w:sz w:val="20"/>
                <w:szCs w:val="20"/>
              </w:rPr>
              <w:t>RFP</w:t>
            </w:r>
            <w:r w:rsidRPr="005049A6">
              <w:rPr>
                <w:sz w:val="20"/>
                <w:szCs w:val="20"/>
              </w:rPr>
              <w:t xml:space="preserve"> Section 7</w:t>
            </w: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857E56" w14:textId="77777777" w:rsidR="00945A32" w:rsidRPr="005049A6" w:rsidRDefault="00945A32" w:rsidP="00B5032F">
            <w:pPr>
              <w:rPr>
                <w:sz w:val="20"/>
                <w:szCs w:val="20"/>
              </w:rPr>
            </w:pPr>
            <w:r w:rsidRPr="005049A6">
              <w:rPr>
                <w:sz w:val="20"/>
                <w:szCs w:val="20"/>
              </w:rPr>
              <w:t>36-65</w:t>
            </w: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4C6EDB" w14:textId="77777777" w:rsidR="00945A32" w:rsidRPr="005049A6" w:rsidRDefault="00945A32" w:rsidP="00B5032F">
            <w:pPr>
              <w:rPr>
                <w:color w:val="000000"/>
                <w:sz w:val="20"/>
                <w:szCs w:val="20"/>
              </w:rPr>
            </w:pPr>
            <w:r w:rsidRPr="005049A6">
              <w:rPr>
                <w:color w:val="000000"/>
                <w:sz w:val="20"/>
                <w:szCs w:val="20"/>
              </w:rPr>
              <w:t>The subcontractor for our technology platform will require an NDA before they provide the requested information. Will the State of Wisconsin Employee Trust Funds agree to execute an NDA? If so, will the State of Wisconsin Employee Trust Funds execute the agreement electronically, or will a paper agreement be required? If a paper agreement is required, are wet ink signatures also required, or are copied sufficient? To whom should the NDA be sent? Please provide name, title, address, and email address (if electronic)?</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457139" w14:textId="77777777" w:rsidR="00945A32" w:rsidRPr="005049A6" w:rsidRDefault="00945A32" w:rsidP="00B5032F">
            <w:pPr>
              <w:rPr>
                <w:sz w:val="20"/>
                <w:szCs w:val="20"/>
              </w:rPr>
            </w:pPr>
            <w:r w:rsidRPr="00D9013D">
              <w:rPr>
                <w:sz w:val="20"/>
                <w:szCs w:val="20"/>
              </w:rPr>
              <w:t xml:space="preserve">RFP Section 7 is the Technical Questionnaire. The Department has provided FORM G - Designation of Confidential and Proprietary Information for the same purposes that an NDA serves. If FORM G does not meet your needs, the Department has a NDA; send a request to </w:t>
            </w:r>
            <w:hyperlink r:id="rId14" w:history="1">
              <w:r w:rsidRPr="00D9013D">
                <w:rPr>
                  <w:rStyle w:val="Hyperlink"/>
                  <w:sz w:val="20"/>
                  <w:szCs w:val="20"/>
                </w:rPr>
                <w:t>ETFsmbProcurement@etf.wi.gov</w:t>
              </w:r>
            </w:hyperlink>
            <w:r w:rsidRPr="00D9013D">
              <w:rPr>
                <w:sz w:val="20"/>
                <w:szCs w:val="20"/>
              </w:rPr>
              <w:t xml:space="preserve"> or state in your Proposal your desire to receive a copy of this NDA. The Department utilizes DocuSign for signing documents.  </w:t>
            </w:r>
          </w:p>
        </w:tc>
      </w:tr>
      <w:tr w:rsidR="00B27F16" w14:paraId="47B550B6"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1205"/>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tcPr>
          <w:p w14:paraId="29E6AAA2" w14:textId="77777777" w:rsidR="00945A32" w:rsidRDefault="00945A32" w:rsidP="00B5032F">
            <w:pPr>
              <w:rPr>
                <w:sz w:val="20"/>
                <w:szCs w:val="20"/>
              </w:rPr>
            </w:pPr>
            <w:r w:rsidRPr="005049A6">
              <w:rPr>
                <w:sz w:val="20"/>
                <w:szCs w:val="20"/>
              </w:rPr>
              <w:t>Q1</w:t>
            </w:r>
            <w:r>
              <w:rPr>
                <w:sz w:val="20"/>
                <w:szCs w:val="20"/>
              </w:rPr>
              <w:t>04</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12CCF83" w14:textId="77777777" w:rsidR="00945A32"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7F219314" w14:textId="77777777" w:rsidR="00945A32"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61452D6" w14:textId="77777777" w:rsidR="00945A32" w:rsidRDefault="00945A32" w:rsidP="00B5032F">
            <w:pPr>
              <w:textAlignment w:val="center"/>
              <w:rPr>
                <w:color w:val="000000"/>
                <w:sz w:val="20"/>
                <w:szCs w:val="20"/>
              </w:rPr>
            </w:pPr>
            <w:r>
              <w:rPr>
                <w:sz w:val="20"/>
                <w:szCs w:val="20"/>
              </w:rPr>
              <w:t xml:space="preserve">How are FSA claims funded today?  Do you allow for ACH pull for claims funding, or do you currently use a replenishment account?  </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14BABD3A" w14:textId="77777777" w:rsidR="00945A32" w:rsidRPr="00D9013D" w:rsidRDefault="00945A32" w:rsidP="00B27F16">
            <w:pPr>
              <w:spacing w:after="60"/>
              <w:rPr>
                <w:sz w:val="20"/>
                <w:szCs w:val="20"/>
              </w:rPr>
            </w:pPr>
            <w:r w:rsidRPr="00D9013D">
              <w:rPr>
                <w:sz w:val="20"/>
                <w:szCs w:val="20"/>
              </w:rPr>
              <w:t xml:space="preserve">See the </w:t>
            </w:r>
            <w:r>
              <w:rPr>
                <w:sz w:val="20"/>
                <w:szCs w:val="20"/>
              </w:rPr>
              <w:t>response</w:t>
            </w:r>
            <w:r w:rsidRPr="00D9013D">
              <w:rPr>
                <w:sz w:val="20"/>
                <w:szCs w:val="20"/>
              </w:rPr>
              <w:t xml:space="preserve"> </w:t>
            </w:r>
            <w:r>
              <w:rPr>
                <w:sz w:val="20"/>
                <w:szCs w:val="20"/>
              </w:rPr>
              <w:t>to</w:t>
            </w:r>
            <w:r w:rsidRPr="00D9013D">
              <w:rPr>
                <w:sz w:val="20"/>
                <w:szCs w:val="20"/>
              </w:rPr>
              <w:t xml:space="preserve"> Q58. </w:t>
            </w:r>
          </w:p>
          <w:p w14:paraId="5AFA199C" w14:textId="77777777" w:rsidR="00945A32" w:rsidRPr="00984F4A" w:rsidRDefault="00945A32" w:rsidP="00B5032F">
            <w:pPr>
              <w:rPr>
                <w:sz w:val="20"/>
                <w:szCs w:val="20"/>
              </w:rPr>
            </w:pPr>
            <w:r w:rsidRPr="00D9013D">
              <w:rPr>
                <w:sz w:val="20"/>
                <w:szCs w:val="20"/>
              </w:rPr>
              <w:t>The Department does not allow ACH pull.</w:t>
            </w:r>
          </w:p>
        </w:tc>
      </w:tr>
      <w:tr w:rsidR="00B27F16" w14:paraId="386F35A5"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E62432" w14:textId="77777777" w:rsidR="00945A32" w:rsidRDefault="00945A32" w:rsidP="00B5032F">
            <w:pPr>
              <w:rPr>
                <w:sz w:val="20"/>
                <w:szCs w:val="20"/>
              </w:rPr>
            </w:pPr>
            <w:r w:rsidRPr="005049A6">
              <w:rPr>
                <w:sz w:val="20"/>
                <w:szCs w:val="20"/>
              </w:rPr>
              <w:t>Q1</w:t>
            </w:r>
            <w:r>
              <w:rPr>
                <w:sz w:val="20"/>
                <w:szCs w:val="20"/>
              </w:rPr>
              <w:t>05</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074FFB" w14:textId="77777777" w:rsidR="00945A32"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942467" w14:textId="77777777" w:rsidR="00945A32"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45638E" w14:textId="77777777" w:rsidR="00945A32" w:rsidRDefault="00945A32" w:rsidP="00B5032F">
            <w:pPr>
              <w:textAlignment w:val="center"/>
              <w:rPr>
                <w:sz w:val="20"/>
                <w:szCs w:val="20"/>
              </w:rPr>
            </w:pPr>
            <w:r>
              <w:rPr>
                <w:sz w:val="20"/>
                <w:szCs w:val="20"/>
              </w:rPr>
              <w:t>What is the frequency of FSA claims funding?</w:t>
            </w:r>
          </w:p>
          <w:p w14:paraId="3B08F3C9" w14:textId="77777777" w:rsidR="00945A32" w:rsidRDefault="00945A32" w:rsidP="00B5032F">
            <w:pPr>
              <w:rPr>
                <w:color w:val="000000"/>
                <w:sz w:val="20"/>
                <w:szCs w:val="20"/>
              </w:rPr>
            </w:pP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7D3E83" w14:textId="77777777" w:rsidR="00945A32" w:rsidRDefault="00945A32" w:rsidP="00B27F16">
            <w:pPr>
              <w:spacing w:after="60" w:line="240" w:lineRule="auto"/>
              <w:rPr>
                <w:sz w:val="20"/>
                <w:szCs w:val="20"/>
              </w:rPr>
            </w:pPr>
            <w:r>
              <w:rPr>
                <w:sz w:val="20"/>
                <w:szCs w:val="20"/>
              </w:rPr>
              <w:t>The Department will provide advance</w:t>
            </w:r>
            <w:r w:rsidRPr="00D9013D">
              <w:rPr>
                <w:sz w:val="20"/>
                <w:szCs w:val="20"/>
              </w:rPr>
              <w:t xml:space="preserve"> FSA claims funding as a one-time payment during the implementation period and prior to the start of each plan year. </w:t>
            </w:r>
          </w:p>
          <w:p w14:paraId="0CF422E0" w14:textId="77777777" w:rsidR="00945A32" w:rsidRDefault="00945A32" w:rsidP="00B27F16">
            <w:pPr>
              <w:spacing w:after="60" w:line="240" w:lineRule="auto"/>
              <w:rPr>
                <w:sz w:val="20"/>
                <w:szCs w:val="20"/>
              </w:rPr>
            </w:pPr>
            <w:r>
              <w:rPr>
                <w:sz w:val="20"/>
                <w:szCs w:val="20"/>
              </w:rPr>
              <w:lastRenderedPageBreak/>
              <w:t xml:space="preserve">The Contractor will invoice the Department on a weekly basis for claims paid out. The Department normally will pay the claims invoice within five (5) business days from the Department’s receipt of a properly submitted invoice. </w:t>
            </w:r>
          </w:p>
          <w:p w14:paraId="22FBFEEB" w14:textId="77777777" w:rsidR="00945A32" w:rsidRPr="00984F4A" w:rsidRDefault="00945A32" w:rsidP="00B5032F">
            <w:pPr>
              <w:rPr>
                <w:sz w:val="20"/>
                <w:szCs w:val="20"/>
              </w:rPr>
            </w:pPr>
            <w:r>
              <w:rPr>
                <w:sz w:val="20"/>
                <w:szCs w:val="20"/>
              </w:rPr>
              <w:t xml:space="preserve">See Section 125, ERA, and Commuter Program Agreement: Section </w:t>
            </w:r>
            <w:r w:rsidRPr="006B71A1">
              <w:rPr>
                <w:sz w:val="20"/>
                <w:szCs w:val="20"/>
              </w:rPr>
              <w:t>135C Fees, Invoicing, and Payments</w:t>
            </w:r>
            <w:r>
              <w:rPr>
                <w:sz w:val="20"/>
                <w:szCs w:val="20"/>
              </w:rPr>
              <w:t>.</w:t>
            </w:r>
          </w:p>
        </w:tc>
      </w:tr>
      <w:tr w:rsidR="00B27F16" w14:paraId="3C932107"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tcPr>
          <w:p w14:paraId="1D69BE3B" w14:textId="77777777" w:rsidR="00945A32" w:rsidRDefault="00945A32" w:rsidP="00B5032F">
            <w:pPr>
              <w:rPr>
                <w:sz w:val="20"/>
                <w:szCs w:val="20"/>
              </w:rPr>
            </w:pPr>
            <w:r w:rsidRPr="005049A6">
              <w:rPr>
                <w:sz w:val="20"/>
                <w:szCs w:val="20"/>
              </w:rPr>
              <w:lastRenderedPageBreak/>
              <w:t>Q1</w:t>
            </w:r>
            <w:r>
              <w:rPr>
                <w:sz w:val="20"/>
                <w:szCs w:val="20"/>
              </w:rPr>
              <w:t>06</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CB39540" w14:textId="77777777" w:rsidR="00945A32"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1071C4D2" w14:textId="77777777" w:rsidR="00945A32"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7985678" w14:textId="77777777" w:rsidR="00945A32" w:rsidRPr="00794647" w:rsidRDefault="00945A32" w:rsidP="00B5032F">
            <w:pPr>
              <w:rPr>
                <w:sz w:val="20"/>
                <w:szCs w:val="20"/>
                <w14:ligatures w14:val="standardContextual"/>
              </w:rPr>
            </w:pPr>
            <w:r w:rsidRPr="00794647">
              <w:rPr>
                <w:sz w:val="20"/>
                <w:szCs w:val="20"/>
              </w:rPr>
              <w:t>Who are your medical, dental, and vision carriers?  Do you currently integrate claims data with your FSA program?</w:t>
            </w:r>
          </w:p>
          <w:p w14:paraId="2A3A43EA" w14:textId="77777777" w:rsidR="00945A32" w:rsidRDefault="00945A32" w:rsidP="00B5032F">
            <w:pPr>
              <w:rPr>
                <w:color w:val="000000"/>
                <w:sz w:val="20"/>
                <w:szCs w:val="20"/>
              </w:rPr>
            </w:pP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184C277A" w14:textId="77777777" w:rsidR="00945A32" w:rsidRPr="00984F4A" w:rsidRDefault="00945A32" w:rsidP="00B5032F">
            <w:pPr>
              <w:rPr>
                <w:sz w:val="20"/>
                <w:szCs w:val="20"/>
              </w:rPr>
            </w:pPr>
            <w:r>
              <w:rPr>
                <w:sz w:val="20"/>
                <w:szCs w:val="20"/>
              </w:rPr>
              <w:t xml:space="preserve">See </w:t>
            </w:r>
            <w:hyperlink r:id="rId15" w:history="1">
              <w:r w:rsidRPr="00844E9D">
                <w:rPr>
                  <w:rStyle w:val="Hyperlink"/>
                  <w:sz w:val="20"/>
                  <w:szCs w:val="20"/>
                </w:rPr>
                <w:t>https://etf.wi.gov/insurance/health-plan-and-vendor-contact-information</w:t>
              </w:r>
            </w:hyperlink>
            <w:r>
              <w:rPr>
                <w:sz w:val="20"/>
                <w:szCs w:val="20"/>
              </w:rPr>
              <w:t xml:space="preserve"> for the Department’s medical, dental, and vision carriers. </w:t>
            </w:r>
            <w:r w:rsidRPr="00D9013D">
              <w:rPr>
                <w:sz w:val="20"/>
                <w:szCs w:val="20"/>
              </w:rPr>
              <w:t xml:space="preserve">No, the Department does not integrate claims data with the FSA program. </w:t>
            </w:r>
          </w:p>
        </w:tc>
      </w:tr>
      <w:tr w:rsidR="00B27F16" w14:paraId="5875C646"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66DBBD" w14:textId="77777777" w:rsidR="00945A32" w:rsidRDefault="00945A32" w:rsidP="00B5032F">
            <w:pPr>
              <w:rPr>
                <w:sz w:val="20"/>
                <w:szCs w:val="20"/>
              </w:rPr>
            </w:pPr>
            <w:r w:rsidRPr="005049A6">
              <w:rPr>
                <w:sz w:val="20"/>
                <w:szCs w:val="20"/>
              </w:rPr>
              <w:t>Q1</w:t>
            </w:r>
            <w:r>
              <w:rPr>
                <w:sz w:val="20"/>
                <w:szCs w:val="20"/>
              </w:rPr>
              <w:t>07</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08C577" w14:textId="77777777" w:rsidR="00945A32"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8C3DFA" w14:textId="77777777" w:rsidR="00945A32"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3247D5" w14:textId="77777777" w:rsidR="00945A32" w:rsidRDefault="00945A32" w:rsidP="00B5032F">
            <w:pPr>
              <w:textAlignment w:val="center"/>
              <w:rPr>
                <w:color w:val="000000"/>
                <w:sz w:val="20"/>
                <w:szCs w:val="20"/>
              </w:rPr>
            </w:pPr>
            <w:r>
              <w:rPr>
                <w:sz w:val="20"/>
                <w:szCs w:val="20"/>
              </w:rPr>
              <w:t>What are the total HSA plan assets – including a breakdown between cash vs investment balances?</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FA9011" w14:textId="77777777" w:rsidR="00945A32" w:rsidRPr="00984F4A" w:rsidRDefault="00945A32" w:rsidP="00B5032F">
            <w:pPr>
              <w:rPr>
                <w:sz w:val="20"/>
                <w:szCs w:val="20"/>
              </w:rPr>
            </w:pPr>
            <w:r>
              <w:rPr>
                <w:sz w:val="20"/>
                <w:szCs w:val="20"/>
              </w:rPr>
              <w:t>See response to Q44.</w:t>
            </w:r>
          </w:p>
        </w:tc>
      </w:tr>
      <w:tr w:rsidR="00B27F16" w14:paraId="07DFF03B"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566"/>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tcPr>
          <w:p w14:paraId="39444D10" w14:textId="77777777" w:rsidR="00945A32" w:rsidRDefault="00945A32" w:rsidP="00B5032F">
            <w:pPr>
              <w:rPr>
                <w:sz w:val="20"/>
                <w:szCs w:val="20"/>
              </w:rPr>
            </w:pPr>
            <w:r w:rsidRPr="005049A6">
              <w:rPr>
                <w:sz w:val="20"/>
                <w:szCs w:val="20"/>
              </w:rPr>
              <w:t>Q1</w:t>
            </w:r>
            <w:r>
              <w:rPr>
                <w:sz w:val="20"/>
                <w:szCs w:val="20"/>
              </w:rPr>
              <w:t>08</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C4D2C4B" w14:textId="77777777" w:rsidR="00945A32"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07A8E5AF" w14:textId="77777777" w:rsidR="00945A32"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801308" w14:textId="77777777" w:rsidR="00945A32" w:rsidRPr="00631697" w:rsidRDefault="00945A32" w:rsidP="00B5032F">
            <w:pPr>
              <w:textAlignment w:val="center"/>
              <w:rPr>
                <w:sz w:val="20"/>
                <w:szCs w:val="20"/>
              </w:rPr>
            </w:pPr>
            <w:r>
              <w:rPr>
                <w:sz w:val="20"/>
                <w:szCs w:val="20"/>
              </w:rPr>
              <w:t>Are any other coverages going out to bid this year for 1/1/26?</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4D671D68" w14:textId="77777777" w:rsidR="00945A32" w:rsidRPr="00984F4A" w:rsidRDefault="00945A32" w:rsidP="00B5032F">
            <w:pPr>
              <w:rPr>
                <w:sz w:val="20"/>
                <w:szCs w:val="20"/>
              </w:rPr>
            </w:pPr>
            <w:r w:rsidRPr="00D9013D">
              <w:rPr>
                <w:sz w:val="20"/>
                <w:szCs w:val="20"/>
              </w:rPr>
              <w:t xml:space="preserve">The Department has active RFPs out for Third Party Administration of Medicare Advantage and Medicare Plus Benefit Plans and Third Party Administration of Pharmacy Benefits Program. See </w:t>
            </w:r>
            <w:hyperlink r:id="rId16" w:history="1">
              <w:r w:rsidRPr="00D9013D">
                <w:rPr>
                  <w:rStyle w:val="Hyperlink"/>
                  <w:sz w:val="20"/>
                  <w:szCs w:val="20"/>
                </w:rPr>
                <w:t>https://etf.wi.gov/procurement</w:t>
              </w:r>
            </w:hyperlink>
            <w:r w:rsidRPr="00D9013D">
              <w:rPr>
                <w:sz w:val="20"/>
                <w:szCs w:val="20"/>
              </w:rPr>
              <w:t xml:space="preserve"> for these RFPs.   </w:t>
            </w:r>
          </w:p>
        </w:tc>
      </w:tr>
      <w:tr w:rsidR="00B27F16" w14:paraId="703A6E79"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FCBEB" w14:textId="77777777" w:rsidR="00945A32" w:rsidRDefault="00945A32" w:rsidP="00B5032F">
            <w:pPr>
              <w:rPr>
                <w:sz w:val="20"/>
                <w:szCs w:val="20"/>
              </w:rPr>
            </w:pPr>
            <w:r w:rsidRPr="005049A6">
              <w:rPr>
                <w:sz w:val="20"/>
                <w:szCs w:val="20"/>
              </w:rPr>
              <w:t>Q1</w:t>
            </w:r>
            <w:r>
              <w:rPr>
                <w:sz w:val="20"/>
                <w:szCs w:val="20"/>
              </w:rPr>
              <w:t>09</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0ED0F6" w14:textId="77777777" w:rsidR="00945A32"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7337FE" w14:textId="77777777" w:rsidR="00945A32"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38082F" w14:textId="77777777" w:rsidR="00945A32" w:rsidRPr="00631697" w:rsidRDefault="00945A32" w:rsidP="00B5032F">
            <w:pPr>
              <w:textAlignment w:val="center"/>
              <w:rPr>
                <w:sz w:val="20"/>
                <w:szCs w:val="20"/>
              </w:rPr>
            </w:pPr>
            <w:r>
              <w:rPr>
                <w:sz w:val="20"/>
                <w:szCs w:val="20"/>
              </w:rPr>
              <w:t>Is FDIC insurance a requirement for the HSA funds, or will you accept alternative options from vendors?</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E9EAF" w14:textId="77777777" w:rsidR="00945A32" w:rsidRPr="00984F4A" w:rsidRDefault="00945A32" w:rsidP="00B5032F">
            <w:pPr>
              <w:rPr>
                <w:sz w:val="20"/>
                <w:szCs w:val="20"/>
              </w:rPr>
            </w:pPr>
            <w:r w:rsidRPr="00D9013D">
              <w:rPr>
                <w:sz w:val="20"/>
                <w:szCs w:val="20"/>
              </w:rPr>
              <w:t>The Department is open to discussing contract terms during negotiations as described in RFP Sections 2.4.1 - Instructions for Submitting Assumptions and Exceptions and 2.4.2 - IMPORTANT: Supplemental Information – Department Terms and Conditions. Also see the language in RFP Section 7.12.2.</w:t>
            </w:r>
          </w:p>
        </w:tc>
      </w:tr>
      <w:tr w:rsidR="00B27F16" w14:paraId="7E6B6D0B"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tcPr>
          <w:p w14:paraId="0CACFC11" w14:textId="77777777" w:rsidR="00945A32" w:rsidRDefault="00945A32" w:rsidP="00B5032F">
            <w:pPr>
              <w:rPr>
                <w:sz w:val="20"/>
                <w:szCs w:val="20"/>
              </w:rPr>
            </w:pPr>
            <w:r w:rsidRPr="005049A6">
              <w:rPr>
                <w:sz w:val="20"/>
                <w:szCs w:val="20"/>
              </w:rPr>
              <w:t>Q1</w:t>
            </w:r>
            <w:r>
              <w:rPr>
                <w:sz w:val="20"/>
                <w:szCs w:val="20"/>
              </w:rPr>
              <w:t>10</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34EBF10" w14:textId="77777777" w:rsidR="00945A32"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5F04AD11" w14:textId="77777777" w:rsidR="00945A32"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170405D" w14:textId="77777777" w:rsidR="00945A32" w:rsidRPr="00631697" w:rsidRDefault="00945A32" w:rsidP="00B5032F">
            <w:pPr>
              <w:textAlignment w:val="center"/>
              <w:rPr>
                <w:sz w:val="20"/>
                <w:szCs w:val="20"/>
              </w:rPr>
            </w:pPr>
            <w:r>
              <w:rPr>
                <w:sz w:val="20"/>
                <w:szCs w:val="20"/>
              </w:rPr>
              <w:t>What is the current investment threshold for HSA investing?</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5A620BCC" w14:textId="77777777" w:rsidR="00945A32" w:rsidRPr="00984F4A" w:rsidRDefault="00945A32" w:rsidP="00B5032F">
            <w:pPr>
              <w:rPr>
                <w:sz w:val="20"/>
                <w:szCs w:val="20"/>
              </w:rPr>
            </w:pPr>
            <w:r w:rsidRPr="00D9013D">
              <w:rPr>
                <w:sz w:val="20"/>
                <w:szCs w:val="20"/>
              </w:rPr>
              <w:t>$1,000.</w:t>
            </w:r>
          </w:p>
        </w:tc>
      </w:tr>
      <w:tr w:rsidR="00B27F16" w14:paraId="086FD46A"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433A53" w14:textId="77777777" w:rsidR="00945A32" w:rsidRDefault="00945A32" w:rsidP="00B5032F">
            <w:pPr>
              <w:rPr>
                <w:sz w:val="20"/>
                <w:szCs w:val="20"/>
              </w:rPr>
            </w:pPr>
            <w:r w:rsidRPr="005049A6">
              <w:rPr>
                <w:sz w:val="20"/>
                <w:szCs w:val="20"/>
              </w:rPr>
              <w:t>Q1</w:t>
            </w:r>
            <w:r>
              <w:rPr>
                <w:sz w:val="20"/>
                <w:szCs w:val="20"/>
              </w:rPr>
              <w:t>11</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181C2" w14:textId="77777777" w:rsidR="00945A32"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7BAFD8" w14:textId="77777777" w:rsidR="00945A32"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15A612" w14:textId="77777777" w:rsidR="00945A32" w:rsidRPr="00631697" w:rsidRDefault="00945A32" w:rsidP="00B5032F">
            <w:pPr>
              <w:textAlignment w:val="center"/>
              <w:rPr>
                <w:sz w:val="20"/>
                <w:szCs w:val="20"/>
              </w:rPr>
            </w:pPr>
            <w:r>
              <w:rPr>
                <w:sz w:val="20"/>
                <w:szCs w:val="20"/>
              </w:rPr>
              <w:t>Please provide the current fees by product.</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D90D609" w14:textId="77777777" w:rsidR="00945A32" w:rsidRPr="00D9013D" w:rsidRDefault="00945A32" w:rsidP="00B5032F">
            <w:pPr>
              <w:rPr>
                <w:kern w:val="2"/>
                <w:sz w:val="20"/>
                <w:szCs w:val="20"/>
              </w:rPr>
            </w:pPr>
            <w:r w:rsidRPr="00D9013D">
              <w:rPr>
                <w:kern w:val="2"/>
                <w:sz w:val="20"/>
                <w:szCs w:val="20"/>
              </w:rPr>
              <w:t xml:space="preserve">See the response to Q26 above. </w:t>
            </w:r>
          </w:p>
        </w:tc>
      </w:tr>
      <w:tr w:rsidR="00B27F16" w14:paraId="2DDDDACB"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tcPr>
          <w:p w14:paraId="4534A260" w14:textId="77777777" w:rsidR="00945A32" w:rsidRDefault="00945A32" w:rsidP="00B5032F">
            <w:pPr>
              <w:rPr>
                <w:sz w:val="20"/>
                <w:szCs w:val="20"/>
              </w:rPr>
            </w:pPr>
            <w:r w:rsidRPr="005049A6">
              <w:rPr>
                <w:sz w:val="20"/>
                <w:szCs w:val="20"/>
              </w:rPr>
              <w:t>Q1</w:t>
            </w:r>
            <w:r>
              <w:rPr>
                <w:sz w:val="20"/>
                <w:szCs w:val="20"/>
              </w:rPr>
              <w:t>12</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F461BBD" w14:textId="77777777" w:rsidR="00945A32"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0FA2D37E" w14:textId="77777777" w:rsidR="00945A32"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498343B" w14:textId="77777777" w:rsidR="00945A32" w:rsidRPr="00631697" w:rsidRDefault="00945A32" w:rsidP="00B5032F">
            <w:pPr>
              <w:textAlignment w:val="center"/>
              <w:rPr>
                <w:sz w:val="20"/>
                <w:szCs w:val="20"/>
              </w:rPr>
            </w:pPr>
            <w:r>
              <w:rPr>
                <w:sz w:val="20"/>
                <w:szCs w:val="20"/>
              </w:rPr>
              <w:t>What is the average annual spending per account for each of the current products?</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0E18A2C3" w14:textId="77777777" w:rsidR="00945A32" w:rsidRPr="00D9013D" w:rsidRDefault="00945A32" w:rsidP="00B5032F">
            <w:pPr>
              <w:spacing w:after="60"/>
              <w:rPr>
                <w:sz w:val="20"/>
                <w:szCs w:val="20"/>
              </w:rPr>
            </w:pPr>
            <w:r w:rsidRPr="00D9013D">
              <w:rPr>
                <w:sz w:val="20"/>
                <w:szCs w:val="20"/>
              </w:rPr>
              <w:t>The average annual spending per</w:t>
            </w:r>
            <w:r>
              <w:rPr>
                <w:sz w:val="20"/>
                <w:szCs w:val="20"/>
              </w:rPr>
              <w:t xml:space="preserve"> Participant</w:t>
            </w:r>
            <w:r w:rsidRPr="00D9013D">
              <w:rPr>
                <w:sz w:val="20"/>
                <w:szCs w:val="20"/>
              </w:rPr>
              <w:t xml:space="preserve"> account: </w:t>
            </w:r>
          </w:p>
          <w:p w14:paraId="6228D8E5" w14:textId="77777777" w:rsidR="00945A32" w:rsidRPr="00D9013D" w:rsidRDefault="00945A32" w:rsidP="00945A32">
            <w:pPr>
              <w:pStyle w:val="ListParagraph"/>
              <w:numPr>
                <w:ilvl w:val="0"/>
                <w:numId w:val="32"/>
              </w:numPr>
              <w:spacing w:before="0" w:after="0"/>
              <w:ind w:left="228" w:hanging="228"/>
              <w:contextualSpacing w:val="0"/>
              <w:rPr>
                <w:rFonts w:ascii="Arial" w:hAnsi="Arial" w:cs="Arial"/>
                <w:sz w:val="20"/>
                <w:szCs w:val="20"/>
              </w:rPr>
            </w:pPr>
            <w:r w:rsidRPr="00D9013D">
              <w:rPr>
                <w:rFonts w:ascii="Arial" w:hAnsi="Arial" w:cs="Arial"/>
                <w:sz w:val="20"/>
                <w:szCs w:val="20"/>
              </w:rPr>
              <w:t>HCFSA: $983.84</w:t>
            </w:r>
          </w:p>
          <w:p w14:paraId="5415C306" w14:textId="77777777" w:rsidR="00945A32" w:rsidRPr="00D9013D" w:rsidRDefault="00945A32" w:rsidP="00945A32">
            <w:pPr>
              <w:pStyle w:val="ListParagraph"/>
              <w:numPr>
                <w:ilvl w:val="0"/>
                <w:numId w:val="32"/>
              </w:numPr>
              <w:spacing w:before="0" w:after="0"/>
              <w:ind w:left="228" w:hanging="228"/>
              <w:contextualSpacing w:val="0"/>
              <w:rPr>
                <w:rFonts w:ascii="Arial" w:hAnsi="Arial" w:cs="Arial"/>
                <w:sz w:val="20"/>
                <w:szCs w:val="20"/>
              </w:rPr>
            </w:pPr>
            <w:r w:rsidRPr="00D9013D">
              <w:rPr>
                <w:rFonts w:ascii="Arial" w:hAnsi="Arial" w:cs="Arial"/>
                <w:sz w:val="20"/>
                <w:szCs w:val="20"/>
              </w:rPr>
              <w:t>LPFSA: $345.85</w:t>
            </w:r>
          </w:p>
          <w:p w14:paraId="61E7A45B" w14:textId="77777777" w:rsidR="00945A32" w:rsidRPr="00D9013D" w:rsidRDefault="00945A32" w:rsidP="00945A32">
            <w:pPr>
              <w:pStyle w:val="ListParagraph"/>
              <w:numPr>
                <w:ilvl w:val="0"/>
                <w:numId w:val="32"/>
              </w:numPr>
              <w:spacing w:before="0" w:after="0"/>
              <w:ind w:left="228" w:hanging="228"/>
              <w:contextualSpacing w:val="0"/>
              <w:rPr>
                <w:rFonts w:ascii="Arial" w:hAnsi="Arial" w:cs="Arial"/>
                <w:sz w:val="20"/>
                <w:szCs w:val="20"/>
              </w:rPr>
            </w:pPr>
            <w:r w:rsidRPr="00D9013D">
              <w:rPr>
                <w:rFonts w:ascii="Arial" w:hAnsi="Arial" w:cs="Arial"/>
                <w:sz w:val="20"/>
                <w:szCs w:val="20"/>
              </w:rPr>
              <w:t>DCA: $2,983.95</w:t>
            </w:r>
          </w:p>
          <w:p w14:paraId="0E991579" w14:textId="77777777" w:rsidR="00945A32" w:rsidRPr="00D9013D" w:rsidRDefault="00945A32" w:rsidP="00945A32">
            <w:pPr>
              <w:pStyle w:val="ListParagraph"/>
              <w:numPr>
                <w:ilvl w:val="0"/>
                <w:numId w:val="32"/>
              </w:numPr>
              <w:spacing w:before="0" w:after="0"/>
              <w:ind w:left="228" w:hanging="228"/>
              <w:contextualSpacing w:val="0"/>
              <w:rPr>
                <w:rFonts w:ascii="Arial" w:hAnsi="Arial" w:cs="Arial"/>
                <w:sz w:val="20"/>
                <w:szCs w:val="20"/>
              </w:rPr>
            </w:pPr>
            <w:r w:rsidRPr="00D9013D">
              <w:rPr>
                <w:rFonts w:ascii="Arial" w:hAnsi="Arial" w:cs="Arial"/>
                <w:sz w:val="20"/>
                <w:szCs w:val="20"/>
              </w:rPr>
              <w:lastRenderedPageBreak/>
              <w:t>HSA: $1,942.79</w:t>
            </w:r>
          </w:p>
          <w:p w14:paraId="21D97157" w14:textId="77777777" w:rsidR="00945A32" w:rsidRPr="00984F4A" w:rsidRDefault="00945A32" w:rsidP="00945A32">
            <w:pPr>
              <w:pStyle w:val="ListParagraph"/>
              <w:numPr>
                <w:ilvl w:val="0"/>
                <w:numId w:val="32"/>
              </w:numPr>
              <w:spacing w:before="0" w:after="0"/>
              <w:ind w:left="228" w:hanging="228"/>
              <w:contextualSpacing w:val="0"/>
              <w:rPr>
                <w:rFonts w:ascii="Arial" w:hAnsi="Arial" w:cs="Arial"/>
                <w:sz w:val="20"/>
                <w:szCs w:val="20"/>
              </w:rPr>
            </w:pPr>
            <w:r w:rsidRPr="00D9013D">
              <w:rPr>
                <w:rFonts w:ascii="Arial" w:hAnsi="Arial" w:cs="Arial"/>
                <w:sz w:val="20"/>
                <w:szCs w:val="20"/>
              </w:rPr>
              <w:t xml:space="preserve">Commuter: $213.40 </w:t>
            </w:r>
          </w:p>
        </w:tc>
      </w:tr>
      <w:tr w:rsidR="00B27F16" w14:paraId="684E9303"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1F5C76" w14:textId="77777777" w:rsidR="00945A32" w:rsidRDefault="00945A32" w:rsidP="00B5032F">
            <w:pPr>
              <w:rPr>
                <w:sz w:val="20"/>
                <w:szCs w:val="20"/>
              </w:rPr>
            </w:pPr>
            <w:r w:rsidRPr="005049A6">
              <w:rPr>
                <w:sz w:val="20"/>
                <w:szCs w:val="20"/>
              </w:rPr>
              <w:lastRenderedPageBreak/>
              <w:t>Q1</w:t>
            </w:r>
            <w:r>
              <w:rPr>
                <w:sz w:val="20"/>
                <w:szCs w:val="20"/>
              </w:rPr>
              <w:t>13</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2AF5FB" w14:textId="77777777" w:rsidR="00945A32"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2B733A" w14:textId="77777777" w:rsidR="00945A32"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05821" w14:textId="77777777" w:rsidR="00945A32" w:rsidRPr="00631697" w:rsidRDefault="00945A32" w:rsidP="00B5032F">
            <w:pPr>
              <w:textAlignment w:val="center"/>
              <w:rPr>
                <w:sz w:val="20"/>
                <w:szCs w:val="20"/>
              </w:rPr>
            </w:pPr>
            <w:r>
              <w:rPr>
                <w:sz w:val="20"/>
                <w:szCs w:val="20"/>
              </w:rPr>
              <w:t>What is the average annual employer contributions per account or each of the current products?</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71BEBB" w14:textId="77777777" w:rsidR="00945A32" w:rsidRPr="00D9013D" w:rsidRDefault="00945A32" w:rsidP="00B5032F">
            <w:pPr>
              <w:rPr>
                <w:sz w:val="20"/>
                <w:szCs w:val="20"/>
              </w:rPr>
            </w:pPr>
            <w:r w:rsidRPr="00D9013D">
              <w:rPr>
                <w:sz w:val="20"/>
                <w:szCs w:val="20"/>
              </w:rPr>
              <w:t xml:space="preserve">The average annual contributions, which include employee and employer contributions, are: </w:t>
            </w:r>
          </w:p>
          <w:p w14:paraId="4AAEF67B" w14:textId="77777777" w:rsidR="00945A32" w:rsidRPr="00D9013D" w:rsidRDefault="00945A32" w:rsidP="00945A32">
            <w:pPr>
              <w:pStyle w:val="ListParagraph"/>
              <w:numPr>
                <w:ilvl w:val="0"/>
                <w:numId w:val="28"/>
              </w:numPr>
              <w:spacing w:before="0" w:after="0"/>
              <w:ind w:left="228" w:hanging="228"/>
              <w:contextualSpacing w:val="0"/>
              <w:rPr>
                <w:rFonts w:ascii="Arial" w:hAnsi="Arial" w:cs="Arial"/>
                <w:sz w:val="20"/>
                <w:szCs w:val="20"/>
              </w:rPr>
            </w:pPr>
            <w:r w:rsidRPr="00D9013D">
              <w:rPr>
                <w:rFonts w:ascii="Arial" w:hAnsi="Arial" w:cs="Arial"/>
                <w:sz w:val="20"/>
                <w:szCs w:val="20"/>
              </w:rPr>
              <w:t xml:space="preserve">HSA: $1,959 </w:t>
            </w:r>
          </w:p>
          <w:p w14:paraId="3532B1EA" w14:textId="77777777" w:rsidR="00945A32" w:rsidRPr="00D9013D" w:rsidRDefault="00945A32" w:rsidP="00945A32">
            <w:pPr>
              <w:pStyle w:val="ListParagraph"/>
              <w:numPr>
                <w:ilvl w:val="0"/>
                <w:numId w:val="28"/>
              </w:numPr>
              <w:spacing w:before="0" w:after="0"/>
              <w:ind w:left="228" w:hanging="228"/>
              <w:contextualSpacing w:val="0"/>
              <w:rPr>
                <w:rFonts w:ascii="Arial" w:hAnsi="Arial" w:cs="Arial"/>
                <w:sz w:val="20"/>
                <w:szCs w:val="20"/>
              </w:rPr>
            </w:pPr>
            <w:r w:rsidRPr="00D9013D">
              <w:rPr>
                <w:rFonts w:ascii="Arial" w:hAnsi="Arial" w:cs="Arial"/>
                <w:sz w:val="20"/>
                <w:szCs w:val="20"/>
              </w:rPr>
              <w:t>Heath Care FSA: $1,095</w:t>
            </w:r>
          </w:p>
          <w:p w14:paraId="74E020B1" w14:textId="77777777" w:rsidR="00945A32" w:rsidRPr="00D9013D" w:rsidRDefault="00945A32" w:rsidP="00945A32">
            <w:pPr>
              <w:pStyle w:val="ListParagraph"/>
              <w:numPr>
                <w:ilvl w:val="0"/>
                <w:numId w:val="28"/>
              </w:numPr>
              <w:spacing w:before="0" w:after="0"/>
              <w:ind w:left="228" w:hanging="228"/>
              <w:contextualSpacing w:val="0"/>
              <w:rPr>
                <w:rFonts w:ascii="Arial" w:hAnsi="Arial" w:cs="Arial"/>
                <w:sz w:val="20"/>
                <w:szCs w:val="20"/>
              </w:rPr>
            </w:pPr>
            <w:r w:rsidRPr="00D9013D">
              <w:rPr>
                <w:rFonts w:ascii="Arial" w:hAnsi="Arial" w:cs="Arial"/>
                <w:sz w:val="20"/>
                <w:szCs w:val="20"/>
              </w:rPr>
              <w:t>Limited Purpose FSA: $462</w:t>
            </w:r>
          </w:p>
          <w:p w14:paraId="55531977" w14:textId="77777777" w:rsidR="00945A32" w:rsidRPr="00D9013D" w:rsidRDefault="00945A32" w:rsidP="00945A32">
            <w:pPr>
              <w:pStyle w:val="ListParagraph"/>
              <w:numPr>
                <w:ilvl w:val="0"/>
                <w:numId w:val="28"/>
              </w:numPr>
              <w:spacing w:before="0" w:after="0"/>
              <w:ind w:left="228" w:hanging="228"/>
              <w:contextualSpacing w:val="0"/>
              <w:rPr>
                <w:rFonts w:ascii="Arial" w:hAnsi="Arial" w:cs="Arial"/>
                <w:sz w:val="20"/>
                <w:szCs w:val="20"/>
              </w:rPr>
            </w:pPr>
            <w:r w:rsidRPr="00D9013D">
              <w:rPr>
                <w:rFonts w:ascii="Arial" w:hAnsi="Arial" w:cs="Arial"/>
                <w:sz w:val="20"/>
                <w:szCs w:val="20"/>
              </w:rPr>
              <w:t>Dependent Day Care Account: $4,010</w:t>
            </w:r>
          </w:p>
          <w:p w14:paraId="7004CB1C" w14:textId="77777777" w:rsidR="00945A32" w:rsidRPr="00D9013D" w:rsidRDefault="00945A32" w:rsidP="00945A32">
            <w:pPr>
              <w:pStyle w:val="ListParagraph"/>
              <w:numPr>
                <w:ilvl w:val="0"/>
                <w:numId w:val="28"/>
              </w:numPr>
              <w:spacing w:before="0" w:after="0"/>
              <w:ind w:left="228" w:hanging="228"/>
              <w:contextualSpacing w:val="0"/>
              <w:rPr>
                <w:rFonts w:ascii="Arial" w:hAnsi="Arial" w:cs="Arial"/>
                <w:sz w:val="20"/>
                <w:szCs w:val="20"/>
              </w:rPr>
            </w:pPr>
            <w:r w:rsidRPr="00D9013D">
              <w:rPr>
                <w:rFonts w:ascii="Arial" w:hAnsi="Arial" w:cs="Arial"/>
                <w:sz w:val="20"/>
                <w:szCs w:val="20"/>
              </w:rPr>
              <w:t>Parking Account: $333</w:t>
            </w:r>
          </w:p>
          <w:p w14:paraId="02F0EC0F" w14:textId="77777777" w:rsidR="00945A32" w:rsidRPr="00D9013D" w:rsidRDefault="00945A32" w:rsidP="00945A32">
            <w:pPr>
              <w:pStyle w:val="ListParagraph"/>
              <w:numPr>
                <w:ilvl w:val="0"/>
                <w:numId w:val="28"/>
              </w:numPr>
              <w:spacing w:before="0" w:after="0"/>
              <w:ind w:left="228" w:hanging="228"/>
              <w:contextualSpacing w:val="0"/>
              <w:rPr>
                <w:rFonts w:ascii="Arial" w:hAnsi="Arial" w:cs="Arial"/>
                <w:sz w:val="20"/>
                <w:szCs w:val="20"/>
              </w:rPr>
            </w:pPr>
            <w:r w:rsidRPr="00D9013D">
              <w:rPr>
                <w:rFonts w:ascii="Arial" w:hAnsi="Arial" w:cs="Arial"/>
                <w:sz w:val="20"/>
                <w:szCs w:val="20"/>
              </w:rPr>
              <w:t>Transit Account: $90</w:t>
            </w:r>
          </w:p>
          <w:p w14:paraId="6F9CAABA" w14:textId="77777777" w:rsidR="00945A32" w:rsidRPr="00984F4A" w:rsidRDefault="00945A32" w:rsidP="00B5032F">
            <w:pPr>
              <w:rPr>
                <w:sz w:val="20"/>
                <w:szCs w:val="20"/>
              </w:rPr>
            </w:pPr>
            <w:r w:rsidRPr="00D9013D">
              <w:rPr>
                <w:sz w:val="20"/>
                <w:szCs w:val="20"/>
              </w:rPr>
              <w:t>The only product that has an employer contribution is the HSA.</w:t>
            </w:r>
            <w:r>
              <w:rPr>
                <w:sz w:val="20"/>
                <w:szCs w:val="20"/>
              </w:rPr>
              <w:t xml:space="preserve"> See the response to Q1. </w:t>
            </w:r>
          </w:p>
        </w:tc>
      </w:tr>
      <w:tr w:rsidR="00B27F16" w14:paraId="78999198"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E7E6E6" w:themeFill="background2"/>
          </w:tcPr>
          <w:p w14:paraId="296ACB29" w14:textId="77777777" w:rsidR="00945A32" w:rsidRDefault="00945A32" w:rsidP="00B5032F">
            <w:pPr>
              <w:rPr>
                <w:sz w:val="20"/>
                <w:szCs w:val="20"/>
              </w:rPr>
            </w:pPr>
            <w:r w:rsidRPr="005049A6">
              <w:rPr>
                <w:sz w:val="20"/>
                <w:szCs w:val="20"/>
              </w:rPr>
              <w:t>Q1</w:t>
            </w:r>
            <w:r>
              <w:rPr>
                <w:sz w:val="20"/>
                <w:szCs w:val="20"/>
              </w:rPr>
              <w:t>14</w:t>
            </w: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1009B0C" w14:textId="77777777" w:rsidR="00945A32" w:rsidRDefault="00945A32" w:rsidP="00B5032F">
            <w:pPr>
              <w:rPr>
                <w:sz w:val="20"/>
                <w:szCs w:val="20"/>
              </w:rPr>
            </w:pPr>
          </w:p>
        </w:tc>
        <w:tc>
          <w:tcPr>
            <w:tcW w:w="1103" w:type="dxa"/>
            <w:tcBorders>
              <w:top w:val="single" w:sz="4" w:space="0" w:color="auto"/>
              <w:left w:val="single" w:sz="4" w:space="0" w:color="auto"/>
              <w:bottom w:val="single" w:sz="4" w:space="0" w:color="auto"/>
              <w:right w:val="single" w:sz="4" w:space="0" w:color="auto"/>
            </w:tcBorders>
            <w:shd w:val="clear" w:color="auto" w:fill="E7E6E6" w:themeFill="background2"/>
          </w:tcPr>
          <w:p w14:paraId="0F48C2DA" w14:textId="77777777" w:rsidR="00945A32" w:rsidRDefault="00945A32" w:rsidP="00B5032F">
            <w:pPr>
              <w:rPr>
                <w:sz w:val="20"/>
                <w:szCs w:val="20"/>
              </w:rPr>
            </w:pPr>
          </w:p>
        </w:tc>
        <w:tc>
          <w:tcPr>
            <w:tcW w:w="269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67CE1B" w14:textId="77777777" w:rsidR="00945A32" w:rsidRPr="00631697" w:rsidRDefault="00945A32" w:rsidP="00B5032F">
            <w:pPr>
              <w:textAlignment w:val="center"/>
              <w:rPr>
                <w:sz w:val="20"/>
                <w:szCs w:val="20"/>
              </w:rPr>
            </w:pPr>
            <w:r>
              <w:rPr>
                <w:sz w:val="20"/>
                <w:szCs w:val="20"/>
              </w:rPr>
              <w:t>What is the current number of employees participating across all products? (When there is more than one product offered, the total number of participating employees is typically less than the total number of accounts, because there are usually some employees enrolled in more than one product.)</w:t>
            </w:r>
          </w:p>
        </w:tc>
        <w:tc>
          <w:tcPr>
            <w:tcW w:w="3251" w:type="dxa"/>
            <w:tcBorders>
              <w:top w:val="single" w:sz="4" w:space="0" w:color="auto"/>
              <w:left w:val="single" w:sz="4" w:space="0" w:color="auto"/>
              <w:bottom w:val="single" w:sz="4" w:space="0" w:color="auto"/>
              <w:right w:val="single" w:sz="4" w:space="0" w:color="auto"/>
            </w:tcBorders>
            <w:shd w:val="clear" w:color="auto" w:fill="E7E6E6" w:themeFill="background2"/>
          </w:tcPr>
          <w:p w14:paraId="2A5ACDE5" w14:textId="77777777" w:rsidR="00945A32" w:rsidRPr="00984F4A" w:rsidRDefault="00945A32" w:rsidP="00B5032F">
            <w:pPr>
              <w:rPr>
                <w:sz w:val="20"/>
                <w:szCs w:val="20"/>
              </w:rPr>
            </w:pPr>
            <w:r w:rsidRPr="00D9013D">
              <w:rPr>
                <w:sz w:val="20"/>
                <w:szCs w:val="20"/>
              </w:rPr>
              <w:t xml:space="preserve">Based on the May 2024 Participant Account Report, there are 5,489 unique employees enrolled in 2 or more of products (HSA, ERA, and Commuter Fringe Benefit Accounts). </w:t>
            </w:r>
          </w:p>
        </w:tc>
      </w:tr>
      <w:tr w:rsidR="00B27F16" w:rsidRPr="00A03A11" w14:paraId="1A51E708" w14:textId="77777777" w:rsidTr="00B2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7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737865" w14:textId="77777777" w:rsidR="00945A32" w:rsidRPr="00713289" w:rsidRDefault="00945A32" w:rsidP="00B5032F">
            <w:pPr>
              <w:rPr>
                <w:sz w:val="20"/>
                <w:szCs w:val="20"/>
              </w:rPr>
            </w:pPr>
            <w:r w:rsidRPr="00713289">
              <w:rPr>
                <w:sz w:val="20"/>
                <w:szCs w:val="20"/>
              </w:rPr>
              <w:t>Q1</w:t>
            </w:r>
            <w:r>
              <w:rPr>
                <w:sz w:val="20"/>
                <w:szCs w:val="20"/>
              </w:rPr>
              <w:t>15</w:t>
            </w:r>
          </w:p>
        </w:tc>
        <w:tc>
          <w:tcPr>
            <w:tcW w:w="22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7E0E" w14:textId="77777777" w:rsidR="00945A32" w:rsidRPr="00713289" w:rsidRDefault="00945A32" w:rsidP="00B5032F">
            <w:pPr>
              <w:rPr>
                <w:sz w:val="20"/>
                <w:szCs w:val="20"/>
              </w:rPr>
            </w:pPr>
            <w:r w:rsidRPr="00D9013D">
              <w:rPr>
                <w:sz w:val="20"/>
                <w:szCs w:val="20"/>
              </w:rPr>
              <w:t xml:space="preserve">RFP Section </w:t>
            </w:r>
            <w:r w:rsidRPr="00713289">
              <w:rPr>
                <w:sz w:val="20"/>
                <w:szCs w:val="20"/>
              </w:rPr>
              <w:t>1.5 HSA Benefit Program</w:t>
            </w:r>
          </w:p>
        </w:tc>
        <w:tc>
          <w:tcPr>
            <w:tcW w:w="11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969DE1" w14:textId="77777777" w:rsidR="00945A32" w:rsidRPr="00713289" w:rsidRDefault="00945A32" w:rsidP="00B5032F">
            <w:pPr>
              <w:rPr>
                <w:sz w:val="20"/>
                <w:szCs w:val="20"/>
              </w:rPr>
            </w:pPr>
            <w:r w:rsidRPr="00713289">
              <w:rPr>
                <w:sz w:val="20"/>
                <w:szCs w:val="20"/>
              </w:rPr>
              <w:t>7</w:t>
            </w:r>
          </w:p>
        </w:tc>
        <w:tc>
          <w:tcPr>
            <w:tcW w:w="26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337C75" w14:textId="77777777" w:rsidR="00945A32" w:rsidRPr="00713289" w:rsidRDefault="00945A32" w:rsidP="00B5032F">
            <w:pPr>
              <w:rPr>
                <w:color w:val="000000"/>
                <w:sz w:val="20"/>
                <w:szCs w:val="20"/>
              </w:rPr>
            </w:pPr>
            <w:r w:rsidRPr="00713289">
              <w:rPr>
                <w:color w:val="000000"/>
                <w:sz w:val="20"/>
                <w:szCs w:val="20"/>
              </w:rPr>
              <w:t>In addition to the detail provided, please include the total HSA total cash balance and investment balance.</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3A656D" w14:textId="77777777" w:rsidR="00945A32" w:rsidRPr="00713289" w:rsidRDefault="00945A32" w:rsidP="00B5032F">
            <w:pPr>
              <w:rPr>
                <w:sz w:val="20"/>
                <w:szCs w:val="20"/>
              </w:rPr>
            </w:pPr>
            <w:r>
              <w:rPr>
                <w:sz w:val="20"/>
                <w:szCs w:val="20"/>
              </w:rPr>
              <w:t xml:space="preserve">See response to Q44. </w:t>
            </w:r>
          </w:p>
        </w:tc>
      </w:tr>
    </w:tbl>
    <w:p w14:paraId="5318EEFA" w14:textId="77777777" w:rsidR="00945A32" w:rsidRDefault="00945A32" w:rsidP="00945A32"/>
    <w:p w14:paraId="7E94DB30" w14:textId="77777777" w:rsidR="00945A32" w:rsidRDefault="00945A32" w:rsidP="00945A32"/>
    <w:p w14:paraId="17C4B983" w14:textId="24EF467A" w:rsidR="007E699C" w:rsidRDefault="007E699C" w:rsidP="009D1766">
      <w:pPr>
        <w:rPr>
          <w:b/>
        </w:rPr>
      </w:pPr>
      <w:r w:rsidRPr="007E699C">
        <w:rPr>
          <w:color w:val="000000"/>
          <w14:ligatures w14:val="standardContextual"/>
        </w:rPr>
        <w:t xml:space="preserve">You can find the RFP and its attachments on ETF’s web site at </w:t>
      </w:r>
      <w:hyperlink r:id="rId17" w:history="1">
        <w:r w:rsidR="005F6A8A" w:rsidRPr="00D469D1">
          <w:rPr>
            <w:rStyle w:val="Hyperlink"/>
          </w:rPr>
          <w:t>https://etf.wi.gov/node/35441</w:t>
        </w:r>
      </w:hyperlink>
      <w:r w:rsidRPr="007E699C">
        <w:rPr>
          <w:color w:val="000000"/>
          <w14:ligatures w14:val="standardContextual"/>
        </w:rPr>
        <w:t>.</w:t>
      </w:r>
    </w:p>
    <w:sectPr w:rsidR="007E699C" w:rsidSect="000829CB">
      <w:footerReference w:type="default" r:id="rId18"/>
      <w:pgSz w:w="12240" w:h="15840" w:code="1"/>
      <w:pgMar w:top="1008" w:right="1152" w:bottom="720" w:left="1152"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98CF" w14:textId="77777777" w:rsidR="00543054" w:rsidRDefault="00543054" w:rsidP="000829CB">
      <w:pPr>
        <w:spacing w:line="240" w:lineRule="auto"/>
      </w:pPr>
      <w:r>
        <w:separator/>
      </w:r>
    </w:p>
  </w:endnote>
  <w:endnote w:type="continuationSeparator" w:id="0">
    <w:p w14:paraId="371561A5" w14:textId="77777777" w:rsidR="00543054" w:rsidRDefault="00543054" w:rsidP="000829CB">
      <w:pPr>
        <w:spacing w:line="240" w:lineRule="auto"/>
      </w:pPr>
      <w:r>
        <w:continuationSeparator/>
      </w:r>
    </w:p>
  </w:endnote>
  <w:endnote w:type="continuationNotice" w:id="1">
    <w:p w14:paraId="7162CD56" w14:textId="77777777" w:rsidR="00543054" w:rsidRDefault="005430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Medium">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417313"/>
      <w:docPartObj>
        <w:docPartGallery w:val="Page Numbers (Bottom of Page)"/>
        <w:docPartUnique/>
      </w:docPartObj>
    </w:sdtPr>
    <w:sdtEndPr>
      <w:rPr>
        <w:noProof/>
        <w:sz w:val="18"/>
        <w:szCs w:val="18"/>
      </w:rPr>
    </w:sdtEndPr>
    <w:sdtContent>
      <w:p w14:paraId="57E1BA6F" w14:textId="410BFAF3" w:rsidR="000829CB" w:rsidRPr="00B27F16" w:rsidRDefault="000829CB">
        <w:pPr>
          <w:pStyle w:val="Footer"/>
          <w:jc w:val="center"/>
          <w:rPr>
            <w:sz w:val="18"/>
            <w:szCs w:val="18"/>
          </w:rPr>
        </w:pPr>
        <w:r w:rsidRPr="00B27F16">
          <w:rPr>
            <w:sz w:val="18"/>
            <w:szCs w:val="18"/>
          </w:rPr>
          <w:fldChar w:fldCharType="begin"/>
        </w:r>
        <w:r w:rsidRPr="00B27F16">
          <w:rPr>
            <w:sz w:val="18"/>
            <w:szCs w:val="18"/>
          </w:rPr>
          <w:instrText xml:space="preserve"> PAGE   \* MERGEFORMAT </w:instrText>
        </w:r>
        <w:r w:rsidRPr="00B27F16">
          <w:rPr>
            <w:sz w:val="18"/>
            <w:szCs w:val="18"/>
          </w:rPr>
          <w:fldChar w:fldCharType="separate"/>
        </w:r>
        <w:r w:rsidRPr="00B27F16">
          <w:rPr>
            <w:noProof/>
            <w:sz w:val="18"/>
            <w:szCs w:val="18"/>
          </w:rPr>
          <w:t>2</w:t>
        </w:r>
        <w:r w:rsidRPr="00B27F16">
          <w:rPr>
            <w:noProof/>
            <w:sz w:val="18"/>
            <w:szCs w:val="18"/>
          </w:rPr>
          <w:fldChar w:fldCharType="end"/>
        </w:r>
      </w:p>
    </w:sdtContent>
  </w:sdt>
  <w:p w14:paraId="34AD7360" w14:textId="77777777" w:rsidR="003A059C" w:rsidRDefault="003A0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1C53" w14:textId="77777777" w:rsidR="00543054" w:rsidRDefault="00543054" w:rsidP="000829CB">
      <w:pPr>
        <w:spacing w:line="240" w:lineRule="auto"/>
      </w:pPr>
      <w:r>
        <w:separator/>
      </w:r>
    </w:p>
  </w:footnote>
  <w:footnote w:type="continuationSeparator" w:id="0">
    <w:p w14:paraId="0D56EAC4" w14:textId="77777777" w:rsidR="00543054" w:rsidRDefault="00543054" w:rsidP="000829CB">
      <w:pPr>
        <w:spacing w:line="240" w:lineRule="auto"/>
      </w:pPr>
      <w:r>
        <w:continuationSeparator/>
      </w:r>
    </w:p>
  </w:footnote>
  <w:footnote w:type="continuationNotice" w:id="1">
    <w:p w14:paraId="71888F7A" w14:textId="77777777" w:rsidR="00543054" w:rsidRDefault="0054305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3E0"/>
    <w:multiLevelType w:val="hybridMultilevel"/>
    <w:tmpl w:val="B27A819E"/>
    <w:lvl w:ilvl="0" w:tplc="C6BC98A6">
      <w:start w:val="1"/>
      <w:numFmt w:val="lowerLetter"/>
      <w:lvlText w:val="%1."/>
      <w:lvlJc w:val="left"/>
      <w:pPr>
        <w:ind w:left="720" w:hanging="360"/>
      </w:pPr>
      <w:rPr>
        <w:rFonts w:ascii="Arial" w:hAnsi="Arial" w:cs="Arial" w:hint="default"/>
        <w:b w:val="0"/>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C32"/>
    <w:multiLevelType w:val="hybridMultilevel"/>
    <w:tmpl w:val="8AFA13BC"/>
    <w:lvl w:ilvl="0" w:tplc="C7DCBB72">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E5508"/>
    <w:multiLevelType w:val="hybridMultilevel"/>
    <w:tmpl w:val="8514BD0A"/>
    <w:lvl w:ilvl="0" w:tplc="6910F354">
      <w:start w:val="1"/>
      <w:numFmt w:val="bullet"/>
      <w:lvlText w:val="-"/>
      <w:lvlJc w:val="left"/>
      <w:pPr>
        <w:ind w:left="331" w:hanging="360"/>
      </w:pPr>
      <w:rPr>
        <w:rFonts w:ascii="Calibri" w:eastAsiaTheme="minorHAnsi" w:hAnsi="Calibri" w:cs="Calibri" w:hint="default"/>
      </w:rPr>
    </w:lvl>
    <w:lvl w:ilvl="1" w:tplc="04090003">
      <w:start w:val="1"/>
      <w:numFmt w:val="bullet"/>
      <w:lvlText w:val="o"/>
      <w:lvlJc w:val="left"/>
      <w:pPr>
        <w:ind w:left="1051" w:hanging="360"/>
      </w:pPr>
      <w:rPr>
        <w:rFonts w:ascii="Courier New" w:hAnsi="Courier New" w:cs="Courier New" w:hint="default"/>
      </w:rPr>
    </w:lvl>
    <w:lvl w:ilvl="2" w:tplc="04090005">
      <w:start w:val="1"/>
      <w:numFmt w:val="bullet"/>
      <w:lvlText w:val=""/>
      <w:lvlJc w:val="left"/>
      <w:pPr>
        <w:ind w:left="1771" w:hanging="360"/>
      </w:pPr>
      <w:rPr>
        <w:rFonts w:ascii="Wingdings" w:hAnsi="Wingdings" w:hint="default"/>
      </w:rPr>
    </w:lvl>
    <w:lvl w:ilvl="3" w:tplc="04090001">
      <w:start w:val="1"/>
      <w:numFmt w:val="bullet"/>
      <w:lvlText w:val=""/>
      <w:lvlJc w:val="left"/>
      <w:pPr>
        <w:ind w:left="2491" w:hanging="360"/>
      </w:pPr>
      <w:rPr>
        <w:rFonts w:ascii="Symbol" w:hAnsi="Symbol" w:hint="default"/>
      </w:rPr>
    </w:lvl>
    <w:lvl w:ilvl="4" w:tplc="04090003">
      <w:start w:val="1"/>
      <w:numFmt w:val="bullet"/>
      <w:lvlText w:val="o"/>
      <w:lvlJc w:val="left"/>
      <w:pPr>
        <w:ind w:left="3211" w:hanging="360"/>
      </w:pPr>
      <w:rPr>
        <w:rFonts w:ascii="Courier New" w:hAnsi="Courier New" w:cs="Courier New" w:hint="default"/>
      </w:rPr>
    </w:lvl>
    <w:lvl w:ilvl="5" w:tplc="04090005">
      <w:start w:val="1"/>
      <w:numFmt w:val="bullet"/>
      <w:lvlText w:val=""/>
      <w:lvlJc w:val="left"/>
      <w:pPr>
        <w:ind w:left="3931" w:hanging="360"/>
      </w:pPr>
      <w:rPr>
        <w:rFonts w:ascii="Wingdings" w:hAnsi="Wingdings" w:hint="default"/>
      </w:rPr>
    </w:lvl>
    <w:lvl w:ilvl="6" w:tplc="04090001">
      <w:start w:val="1"/>
      <w:numFmt w:val="bullet"/>
      <w:lvlText w:val=""/>
      <w:lvlJc w:val="left"/>
      <w:pPr>
        <w:ind w:left="4651" w:hanging="360"/>
      </w:pPr>
      <w:rPr>
        <w:rFonts w:ascii="Symbol" w:hAnsi="Symbol" w:hint="default"/>
      </w:rPr>
    </w:lvl>
    <w:lvl w:ilvl="7" w:tplc="04090003">
      <w:start w:val="1"/>
      <w:numFmt w:val="bullet"/>
      <w:lvlText w:val="o"/>
      <w:lvlJc w:val="left"/>
      <w:pPr>
        <w:ind w:left="5371" w:hanging="360"/>
      </w:pPr>
      <w:rPr>
        <w:rFonts w:ascii="Courier New" w:hAnsi="Courier New" w:cs="Courier New" w:hint="default"/>
      </w:rPr>
    </w:lvl>
    <w:lvl w:ilvl="8" w:tplc="04090005">
      <w:start w:val="1"/>
      <w:numFmt w:val="bullet"/>
      <w:lvlText w:val=""/>
      <w:lvlJc w:val="left"/>
      <w:pPr>
        <w:ind w:left="6091" w:hanging="360"/>
      </w:pPr>
      <w:rPr>
        <w:rFonts w:ascii="Wingdings" w:hAnsi="Wingdings" w:hint="default"/>
      </w:rPr>
    </w:lvl>
  </w:abstractNum>
  <w:abstractNum w:abstractNumId="3" w15:restartNumberingAfterBreak="0">
    <w:nsid w:val="0E5E5F04"/>
    <w:multiLevelType w:val="hybridMultilevel"/>
    <w:tmpl w:val="B5622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F7402"/>
    <w:multiLevelType w:val="hybridMultilevel"/>
    <w:tmpl w:val="7A523BCC"/>
    <w:lvl w:ilvl="0" w:tplc="BBC8631E">
      <w:start w:val="2"/>
      <w:numFmt w:val="upperLetter"/>
      <w:lvlText w:val="%1."/>
      <w:lvlJc w:val="left"/>
      <w:pPr>
        <w:ind w:left="720" w:hanging="360"/>
      </w:pPr>
      <w:rPr>
        <w:rFonts w:ascii="Arial" w:hAnsi="Arial" w:hint="default"/>
        <w:color w:val="000000"/>
        <w:sz w:val="22"/>
      </w:rPr>
    </w:lvl>
    <w:lvl w:ilvl="1" w:tplc="F1389452" w:tentative="1">
      <w:start w:val="1"/>
      <w:numFmt w:val="lowerLetter"/>
      <w:lvlText w:val="%2."/>
      <w:lvlJc w:val="left"/>
      <w:pPr>
        <w:ind w:left="1440" w:hanging="360"/>
      </w:pPr>
    </w:lvl>
    <w:lvl w:ilvl="2" w:tplc="A17CBE0C" w:tentative="1">
      <w:start w:val="1"/>
      <w:numFmt w:val="lowerRoman"/>
      <w:lvlText w:val="%3."/>
      <w:lvlJc w:val="right"/>
      <w:pPr>
        <w:ind w:left="2160" w:hanging="180"/>
      </w:pPr>
    </w:lvl>
    <w:lvl w:ilvl="3" w:tplc="7E5AA618" w:tentative="1">
      <w:start w:val="1"/>
      <w:numFmt w:val="decimal"/>
      <w:lvlText w:val="%4."/>
      <w:lvlJc w:val="left"/>
      <w:pPr>
        <w:ind w:left="2880" w:hanging="360"/>
      </w:pPr>
    </w:lvl>
    <w:lvl w:ilvl="4" w:tplc="6F405EB2" w:tentative="1">
      <w:start w:val="1"/>
      <w:numFmt w:val="lowerLetter"/>
      <w:lvlText w:val="%5."/>
      <w:lvlJc w:val="left"/>
      <w:pPr>
        <w:ind w:left="3600" w:hanging="360"/>
      </w:pPr>
    </w:lvl>
    <w:lvl w:ilvl="5" w:tplc="410E3B20" w:tentative="1">
      <w:start w:val="1"/>
      <w:numFmt w:val="lowerRoman"/>
      <w:lvlText w:val="%6."/>
      <w:lvlJc w:val="right"/>
      <w:pPr>
        <w:ind w:left="4320" w:hanging="180"/>
      </w:pPr>
    </w:lvl>
    <w:lvl w:ilvl="6" w:tplc="870AE954" w:tentative="1">
      <w:start w:val="1"/>
      <w:numFmt w:val="decimal"/>
      <w:lvlText w:val="%7."/>
      <w:lvlJc w:val="left"/>
      <w:pPr>
        <w:ind w:left="5040" w:hanging="360"/>
      </w:pPr>
    </w:lvl>
    <w:lvl w:ilvl="7" w:tplc="D20A8998" w:tentative="1">
      <w:start w:val="1"/>
      <w:numFmt w:val="lowerLetter"/>
      <w:lvlText w:val="%8."/>
      <w:lvlJc w:val="left"/>
      <w:pPr>
        <w:ind w:left="5760" w:hanging="360"/>
      </w:pPr>
    </w:lvl>
    <w:lvl w:ilvl="8" w:tplc="112ABBD8" w:tentative="1">
      <w:start w:val="1"/>
      <w:numFmt w:val="lowerRoman"/>
      <w:lvlText w:val="%9."/>
      <w:lvlJc w:val="right"/>
      <w:pPr>
        <w:ind w:left="6480" w:hanging="180"/>
      </w:pPr>
    </w:lvl>
  </w:abstractNum>
  <w:abstractNum w:abstractNumId="5" w15:restartNumberingAfterBreak="0">
    <w:nsid w:val="15F056A6"/>
    <w:multiLevelType w:val="multilevel"/>
    <w:tmpl w:val="C338E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7666F9"/>
    <w:multiLevelType w:val="hybridMultilevel"/>
    <w:tmpl w:val="78F4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35C8B"/>
    <w:multiLevelType w:val="hybridMultilevel"/>
    <w:tmpl w:val="24542E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A72503"/>
    <w:multiLevelType w:val="hybridMultilevel"/>
    <w:tmpl w:val="2CBC880E"/>
    <w:lvl w:ilvl="0" w:tplc="7CC89C98">
      <w:start w:val="1"/>
      <w:numFmt w:val="upperLetter"/>
      <w:lvlText w:val="%1."/>
      <w:lvlJc w:val="left"/>
      <w:pPr>
        <w:ind w:left="720" w:hanging="360"/>
      </w:pPr>
      <w:rPr>
        <w:rFonts w:hint="default"/>
      </w:rPr>
    </w:lvl>
    <w:lvl w:ilvl="1" w:tplc="F13412D2" w:tentative="1">
      <w:start w:val="1"/>
      <w:numFmt w:val="lowerLetter"/>
      <w:lvlText w:val="%2."/>
      <w:lvlJc w:val="left"/>
      <w:pPr>
        <w:ind w:left="1440" w:hanging="360"/>
      </w:pPr>
    </w:lvl>
    <w:lvl w:ilvl="2" w:tplc="4AF2A4CA" w:tentative="1">
      <w:start w:val="1"/>
      <w:numFmt w:val="lowerRoman"/>
      <w:lvlText w:val="%3."/>
      <w:lvlJc w:val="right"/>
      <w:pPr>
        <w:ind w:left="2160" w:hanging="180"/>
      </w:pPr>
    </w:lvl>
    <w:lvl w:ilvl="3" w:tplc="48041016" w:tentative="1">
      <w:start w:val="1"/>
      <w:numFmt w:val="decimal"/>
      <w:lvlText w:val="%4."/>
      <w:lvlJc w:val="left"/>
      <w:pPr>
        <w:ind w:left="2880" w:hanging="360"/>
      </w:pPr>
    </w:lvl>
    <w:lvl w:ilvl="4" w:tplc="7922689C" w:tentative="1">
      <w:start w:val="1"/>
      <w:numFmt w:val="lowerLetter"/>
      <w:lvlText w:val="%5."/>
      <w:lvlJc w:val="left"/>
      <w:pPr>
        <w:ind w:left="3600" w:hanging="360"/>
      </w:pPr>
    </w:lvl>
    <w:lvl w:ilvl="5" w:tplc="83781B70" w:tentative="1">
      <w:start w:val="1"/>
      <w:numFmt w:val="lowerRoman"/>
      <w:lvlText w:val="%6."/>
      <w:lvlJc w:val="right"/>
      <w:pPr>
        <w:ind w:left="4320" w:hanging="180"/>
      </w:pPr>
    </w:lvl>
    <w:lvl w:ilvl="6" w:tplc="1A9E8E82" w:tentative="1">
      <w:start w:val="1"/>
      <w:numFmt w:val="decimal"/>
      <w:lvlText w:val="%7."/>
      <w:lvlJc w:val="left"/>
      <w:pPr>
        <w:ind w:left="5040" w:hanging="360"/>
      </w:pPr>
    </w:lvl>
    <w:lvl w:ilvl="7" w:tplc="8BCA4FA2" w:tentative="1">
      <w:start w:val="1"/>
      <w:numFmt w:val="lowerLetter"/>
      <w:lvlText w:val="%8."/>
      <w:lvlJc w:val="left"/>
      <w:pPr>
        <w:ind w:left="5760" w:hanging="360"/>
      </w:pPr>
    </w:lvl>
    <w:lvl w:ilvl="8" w:tplc="5A2EECA4" w:tentative="1">
      <w:start w:val="1"/>
      <w:numFmt w:val="lowerRoman"/>
      <w:lvlText w:val="%9."/>
      <w:lvlJc w:val="right"/>
      <w:pPr>
        <w:ind w:left="6480" w:hanging="180"/>
      </w:pPr>
    </w:lvl>
  </w:abstractNum>
  <w:abstractNum w:abstractNumId="9" w15:restartNumberingAfterBreak="0">
    <w:nsid w:val="25CF2D1C"/>
    <w:multiLevelType w:val="hybridMultilevel"/>
    <w:tmpl w:val="8F72AC5E"/>
    <w:lvl w:ilvl="0" w:tplc="A31E500C">
      <w:start w:val="1"/>
      <w:numFmt w:val="bullet"/>
      <w:lvlText w:val=""/>
      <w:lvlJc w:val="left"/>
      <w:pPr>
        <w:ind w:left="787" w:hanging="360"/>
      </w:pPr>
      <w:rPr>
        <w:rFonts w:ascii="Symbol" w:hAnsi="Symbol" w:hint="default"/>
        <w:color w:val="000000"/>
        <w:sz w:val="22"/>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277D30BA"/>
    <w:multiLevelType w:val="hybridMultilevel"/>
    <w:tmpl w:val="3186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90F16"/>
    <w:multiLevelType w:val="hybridMultilevel"/>
    <w:tmpl w:val="0974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B17D3"/>
    <w:multiLevelType w:val="hybridMultilevel"/>
    <w:tmpl w:val="3B80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90DCD"/>
    <w:multiLevelType w:val="hybridMultilevel"/>
    <w:tmpl w:val="6518B2E6"/>
    <w:lvl w:ilvl="0" w:tplc="ADFC31A8">
      <w:start w:val="1"/>
      <w:numFmt w:val="bullet"/>
      <w:lvlText w:val=""/>
      <w:lvlJc w:val="left"/>
      <w:pPr>
        <w:ind w:left="1440" w:hanging="360"/>
      </w:pPr>
      <w:rPr>
        <w:rFonts w:ascii="Symbol" w:hAnsi="Symbol"/>
      </w:rPr>
    </w:lvl>
    <w:lvl w:ilvl="1" w:tplc="54C0BFE8">
      <w:start w:val="1"/>
      <w:numFmt w:val="bullet"/>
      <w:lvlText w:val=""/>
      <w:lvlJc w:val="left"/>
      <w:pPr>
        <w:ind w:left="1440" w:hanging="360"/>
      </w:pPr>
      <w:rPr>
        <w:rFonts w:ascii="Symbol" w:hAnsi="Symbol"/>
      </w:rPr>
    </w:lvl>
    <w:lvl w:ilvl="2" w:tplc="CB38BF94">
      <w:start w:val="1"/>
      <w:numFmt w:val="bullet"/>
      <w:lvlText w:val=""/>
      <w:lvlJc w:val="left"/>
      <w:pPr>
        <w:ind w:left="1440" w:hanging="360"/>
      </w:pPr>
      <w:rPr>
        <w:rFonts w:ascii="Symbol" w:hAnsi="Symbol"/>
      </w:rPr>
    </w:lvl>
    <w:lvl w:ilvl="3" w:tplc="2A601950">
      <w:start w:val="1"/>
      <w:numFmt w:val="bullet"/>
      <w:lvlText w:val=""/>
      <w:lvlJc w:val="left"/>
      <w:pPr>
        <w:ind w:left="1440" w:hanging="360"/>
      </w:pPr>
      <w:rPr>
        <w:rFonts w:ascii="Symbol" w:hAnsi="Symbol"/>
      </w:rPr>
    </w:lvl>
    <w:lvl w:ilvl="4" w:tplc="7E7E1B2C">
      <w:start w:val="1"/>
      <w:numFmt w:val="bullet"/>
      <w:lvlText w:val=""/>
      <w:lvlJc w:val="left"/>
      <w:pPr>
        <w:ind w:left="1440" w:hanging="360"/>
      </w:pPr>
      <w:rPr>
        <w:rFonts w:ascii="Symbol" w:hAnsi="Symbol"/>
      </w:rPr>
    </w:lvl>
    <w:lvl w:ilvl="5" w:tplc="E31432EE">
      <w:start w:val="1"/>
      <w:numFmt w:val="bullet"/>
      <w:lvlText w:val=""/>
      <w:lvlJc w:val="left"/>
      <w:pPr>
        <w:ind w:left="1440" w:hanging="360"/>
      </w:pPr>
      <w:rPr>
        <w:rFonts w:ascii="Symbol" w:hAnsi="Symbol"/>
      </w:rPr>
    </w:lvl>
    <w:lvl w:ilvl="6" w:tplc="28C46B38">
      <w:start w:val="1"/>
      <w:numFmt w:val="bullet"/>
      <w:lvlText w:val=""/>
      <w:lvlJc w:val="left"/>
      <w:pPr>
        <w:ind w:left="1440" w:hanging="360"/>
      </w:pPr>
      <w:rPr>
        <w:rFonts w:ascii="Symbol" w:hAnsi="Symbol"/>
      </w:rPr>
    </w:lvl>
    <w:lvl w:ilvl="7" w:tplc="AC3E5C0A">
      <w:start w:val="1"/>
      <w:numFmt w:val="bullet"/>
      <w:lvlText w:val=""/>
      <w:lvlJc w:val="left"/>
      <w:pPr>
        <w:ind w:left="1440" w:hanging="360"/>
      </w:pPr>
      <w:rPr>
        <w:rFonts w:ascii="Symbol" w:hAnsi="Symbol"/>
      </w:rPr>
    </w:lvl>
    <w:lvl w:ilvl="8" w:tplc="85126D38">
      <w:start w:val="1"/>
      <w:numFmt w:val="bullet"/>
      <w:lvlText w:val=""/>
      <w:lvlJc w:val="left"/>
      <w:pPr>
        <w:ind w:left="1440" w:hanging="360"/>
      </w:pPr>
      <w:rPr>
        <w:rFonts w:ascii="Symbol" w:hAnsi="Symbol"/>
      </w:rPr>
    </w:lvl>
  </w:abstractNum>
  <w:abstractNum w:abstractNumId="14" w15:restartNumberingAfterBreak="0">
    <w:nsid w:val="39147463"/>
    <w:multiLevelType w:val="hybridMultilevel"/>
    <w:tmpl w:val="BB485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180C94"/>
    <w:multiLevelType w:val="hybridMultilevel"/>
    <w:tmpl w:val="DD34CCD0"/>
    <w:lvl w:ilvl="0" w:tplc="4F7EE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460AF"/>
    <w:multiLevelType w:val="hybridMultilevel"/>
    <w:tmpl w:val="B4D6E58A"/>
    <w:lvl w:ilvl="0" w:tplc="9376892C">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335C0E"/>
    <w:multiLevelType w:val="hybridMultilevel"/>
    <w:tmpl w:val="A7A61D7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DD26FE"/>
    <w:multiLevelType w:val="hybridMultilevel"/>
    <w:tmpl w:val="0C50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3D5EC8"/>
    <w:multiLevelType w:val="multilevel"/>
    <w:tmpl w:val="D048FD42"/>
    <w:lvl w:ilvl="0">
      <w:start w:val="7"/>
      <w:numFmt w:val="decimal"/>
      <w:lvlText w:val="%1"/>
      <w:lvlJc w:val="left"/>
      <w:pPr>
        <w:ind w:left="405" w:hanging="405"/>
      </w:pPr>
    </w:lvl>
    <w:lvl w:ilvl="1">
      <w:start w:val="1"/>
      <w:numFmt w:val="decimal"/>
      <w:lvlText w:val="%1.%2"/>
      <w:lvlJc w:val="left"/>
      <w:pPr>
        <w:ind w:left="1296" w:hanging="720"/>
      </w:pPr>
    </w:lvl>
    <w:lvl w:ilvl="2">
      <w:start w:val="1"/>
      <w:numFmt w:val="decimal"/>
      <w:lvlText w:val="%1.%2.%3"/>
      <w:lvlJc w:val="left"/>
      <w:pPr>
        <w:ind w:left="1872" w:hanging="720"/>
      </w:pPr>
    </w:lvl>
    <w:lvl w:ilvl="3">
      <w:start w:val="1"/>
      <w:numFmt w:val="decimal"/>
      <w:lvlText w:val="%1.%2.%3.%4"/>
      <w:lvlJc w:val="left"/>
      <w:pPr>
        <w:ind w:left="2808" w:hanging="1080"/>
      </w:pPr>
    </w:lvl>
    <w:lvl w:ilvl="4">
      <w:start w:val="1"/>
      <w:numFmt w:val="decimal"/>
      <w:lvlText w:val="%1.%2.%3.%4.%5"/>
      <w:lvlJc w:val="left"/>
      <w:pPr>
        <w:ind w:left="3744" w:hanging="1440"/>
      </w:pPr>
    </w:lvl>
    <w:lvl w:ilvl="5">
      <w:start w:val="1"/>
      <w:numFmt w:val="decimal"/>
      <w:lvlText w:val="%1.%2.%3.%4.%5.%6"/>
      <w:lvlJc w:val="left"/>
      <w:pPr>
        <w:ind w:left="4320" w:hanging="1440"/>
      </w:pPr>
    </w:lvl>
    <w:lvl w:ilvl="6">
      <w:start w:val="1"/>
      <w:numFmt w:val="decimal"/>
      <w:lvlText w:val="%1.%2.%3.%4.%5.%6.%7"/>
      <w:lvlJc w:val="left"/>
      <w:pPr>
        <w:ind w:left="5256" w:hanging="1800"/>
      </w:pPr>
    </w:lvl>
    <w:lvl w:ilvl="7">
      <w:start w:val="1"/>
      <w:numFmt w:val="decimal"/>
      <w:lvlText w:val="%1.%2.%3.%4.%5.%6.%7.%8"/>
      <w:lvlJc w:val="left"/>
      <w:pPr>
        <w:ind w:left="5832" w:hanging="1800"/>
      </w:pPr>
    </w:lvl>
    <w:lvl w:ilvl="8">
      <w:start w:val="1"/>
      <w:numFmt w:val="decimal"/>
      <w:lvlText w:val="%1.%2.%3.%4.%5.%6.%7.%8.%9"/>
      <w:lvlJc w:val="left"/>
      <w:pPr>
        <w:ind w:left="6768" w:hanging="2160"/>
      </w:pPr>
    </w:lvl>
  </w:abstractNum>
  <w:abstractNum w:abstractNumId="21" w15:restartNumberingAfterBreak="0">
    <w:nsid w:val="4F220D6D"/>
    <w:multiLevelType w:val="hybridMultilevel"/>
    <w:tmpl w:val="759C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F7C9C"/>
    <w:multiLevelType w:val="multilevel"/>
    <w:tmpl w:val="7B4EC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1E1CD1"/>
    <w:multiLevelType w:val="hybridMultilevel"/>
    <w:tmpl w:val="AD44AC28"/>
    <w:lvl w:ilvl="0" w:tplc="AC3AAC14">
      <w:start w:val="1"/>
      <w:numFmt w:val="decimal"/>
      <w:lvlText w:val="%1."/>
      <w:lvlJc w:val="left"/>
      <w:pPr>
        <w:ind w:left="720" w:hanging="360"/>
      </w:pPr>
      <w:rPr>
        <w:rFonts w:hint="default"/>
      </w:rPr>
    </w:lvl>
    <w:lvl w:ilvl="1" w:tplc="0594800E" w:tentative="1">
      <w:start w:val="1"/>
      <w:numFmt w:val="lowerLetter"/>
      <w:lvlText w:val="%2."/>
      <w:lvlJc w:val="left"/>
      <w:pPr>
        <w:ind w:left="1440" w:hanging="360"/>
      </w:pPr>
    </w:lvl>
    <w:lvl w:ilvl="2" w:tplc="3260E1DC" w:tentative="1">
      <w:start w:val="1"/>
      <w:numFmt w:val="lowerRoman"/>
      <w:lvlText w:val="%3."/>
      <w:lvlJc w:val="right"/>
      <w:pPr>
        <w:ind w:left="2160" w:hanging="180"/>
      </w:pPr>
    </w:lvl>
    <w:lvl w:ilvl="3" w:tplc="56265D06" w:tentative="1">
      <w:start w:val="1"/>
      <w:numFmt w:val="decimal"/>
      <w:lvlText w:val="%4."/>
      <w:lvlJc w:val="left"/>
      <w:pPr>
        <w:ind w:left="2880" w:hanging="360"/>
      </w:pPr>
    </w:lvl>
    <w:lvl w:ilvl="4" w:tplc="33F2499C" w:tentative="1">
      <w:start w:val="1"/>
      <w:numFmt w:val="lowerLetter"/>
      <w:lvlText w:val="%5."/>
      <w:lvlJc w:val="left"/>
      <w:pPr>
        <w:ind w:left="3600" w:hanging="360"/>
      </w:pPr>
    </w:lvl>
    <w:lvl w:ilvl="5" w:tplc="4694F47E" w:tentative="1">
      <w:start w:val="1"/>
      <w:numFmt w:val="lowerRoman"/>
      <w:lvlText w:val="%6."/>
      <w:lvlJc w:val="right"/>
      <w:pPr>
        <w:ind w:left="4320" w:hanging="180"/>
      </w:pPr>
    </w:lvl>
    <w:lvl w:ilvl="6" w:tplc="2D7439DC" w:tentative="1">
      <w:start w:val="1"/>
      <w:numFmt w:val="decimal"/>
      <w:lvlText w:val="%7."/>
      <w:lvlJc w:val="left"/>
      <w:pPr>
        <w:ind w:left="5040" w:hanging="360"/>
      </w:pPr>
    </w:lvl>
    <w:lvl w:ilvl="7" w:tplc="0FE6453E" w:tentative="1">
      <w:start w:val="1"/>
      <w:numFmt w:val="lowerLetter"/>
      <w:lvlText w:val="%8."/>
      <w:lvlJc w:val="left"/>
      <w:pPr>
        <w:ind w:left="5760" w:hanging="360"/>
      </w:pPr>
    </w:lvl>
    <w:lvl w:ilvl="8" w:tplc="A8763AAE" w:tentative="1">
      <w:start w:val="1"/>
      <w:numFmt w:val="lowerRoman"/>
      <w:lvlText w:val="%9."/>
      <w:lvlJc w:val="right"/>
      <w:pPr>
        <w:ind w:left="6480" w:hanging="180"/>
      </w:pPr>
    </w:lvl>
  </w:abstractNum>
  <w:abstractNum w:abstractNumId="24" w15:restartNumberingAfterBreak="0">
    <w:nsid w:val="5C5037C4"/>
    <w:multiLevelType w:val="hybridMultilevel"/>
    <w:tmpl w:val="C3C63BA4"/>
    <w:lvl w:ilvl="0" w:tplc="D52C833A">
      <w:start w:val="6"/>
      <w:numFmt w:val="lowerLetter"/>
      <w:lvlText w:val="%1."/>
      <w:lvlJc w:val="left"/>
      <w:pPr>
        <w:ind w:left="1800" w:hanging="360"/>
      </w:pPr>
      <w:rPr>
        <w:rFonts w:eastAsia="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1232F0"/>
    <w:multiLevelType w:val="hybridMultilevel"/>
    <w:tmpl w:val="BC326356"/>
    <w:lvl w:ilvl="0" w:tplc="C450D550">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638F5"/>
    <w:multiLevelType w:val="hybridMultilevel"/>
    <w:tmpl w:val="A42A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88008E"/>
    <w:multiLevelType w:val="hybridMultilevel"/>
    <w:tmpl w:val="0EA8A1E8"/>
    <w:lvl w:ilvl="0" w:tplc="080AC676">
      <w:start w:val="2"/>
      <w:numFmt w:val="lowerLetter"/>
      <w:lvlText w:val="%1."/>
      <w:lvlJc w:val="left"/>
      <w:pPr>
        <w:ind w:left="1440" w:hanging="360"/>
      </w:pPr>
      <w:rPr>
        <w:rFonts w:eastAsia="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A4102E"/>
    <w:multiLevelType w:val="hybridMultilevel"/>
    <w:tmpl w:val="7C5C7AF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A965FB"/>
    <w:multiLevelType w:val="hybridMultilevel"/>
    <w:tmpl w:val="3464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50455"/>
    <w:multiLevelType w:val="hybridMultilevel"/>
    <w:tmpl w:val="0EA8A1E8"/>
    <w:lvl w:ilvl="0" w:tplc="FFFFFFFF">
      <w:start w:val="2"/>
      <w:numFmt w:val="lowerLetter"/>
      <w:lvlText w:val="%1."/>
      <w:lvlJc w:val="left"/>
      <w:pPr>
        <w:ind w:left="1440" w:hanging="360"/>
      </w:pPr>
      <w:rPr>
        <w:rFonts w:eastAsia="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CEF24C8"/>
    <w:multiLevelType w:val="hybridMultilevel"/>
    <w:tmpl w:val="775C8148"/>
    <w:lvl w:ilvl="0" w:tplc="A31E500C">
      <w:start w:val="1"/>
      <w:numFmt w:val="bullet"/>
      <w:lvlText w:val=""/>
      <w:lvlJc w:val="left"/>
      <w:pPr>
        <w:ind w:left="787" w:hanging="360"/>
      </w:pPr>
      <w:rPr>
        <w:rFonts w:ascii="Symbol" w:hAnsi="Symbol" w:hint="default"/>
        <w:color w:val="000000"/>
        <w:sz w:val="22"/>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7F1E718C"/>
    <w:multiLevelType w:val="hybridMultilevel"/>
    <w:tmpl w:val="C4B6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2518280">
    <w:abstractNumId w:val="5"/>
  </w:num>
  <w:num w:numId="2" w16cid:durableId="1023480214">
    <w:abstractNumId w:val="22"/>
  </w:num>
  <w:num w:numId="3" w16cid:durableId="1552496206">
    <w:abstractNumId w:val="12"/>
  </w:num>
  <w:num w:numId="4" w16cid:durableId="1972251152">
    <w:abstractNumId w:val="8"/>
  </w:num>
  <w:num w:numId="5" w16cid:durableId="1629776667">
    <w:abstractNumId w:val="4"/>
  </w:num>
  <w:num w:numId="6" w16cid:durableId="1073550957">
    <w:abstractNumId w:val="23"/>
  </w:num>
  <w:num w:numId="7" w16cid:durableId="1861746835">
    <w:abstractNumId w:val="18"/>
  </w:num>
  <w:num w:numId="8" w16cid:durableId="602689454">
    <w:abstractNumId w:val="28"/>
  </w:num>
  <w:num w:numId="9" w16cid:durableId="258874220">
    <w:abstractNumId w:val="14"/>
  </w:num>
  <w:num w:numId="10" w16cid:durableId="651719257">
    <w:abstractNumId w:val="2"/>
  </w:num>
  <w:num w:numId="11" w16cid:durableId="515846033">
    <w:abstractNumId w:val="32"/>
  </w:num>
  <w:num w:numId="12" w16cid:durableId="200083966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181801">
    <w:abstractNumId w:val="15"/>
  </w:num>
  <w:num w:numId="14" w16cid:durableId="891188698">
    <w:abstractNumId w:val="26"/>
  </w:num>
  <w:num w:numId="15" w16cid:durableId="2122069817">
    <w:abstractNumId w:val="17"/>
  </w:num>
  <w:num w:numId="16" w16cid:durableId="1751851527">
    <w:abstractNumId w:val="0"/>
  </w:num>
  <w:num w:numId="17" w16cid:durableId="731394497">
    <w:abstractNumId w:val="27"/>
  </w:num>
  <w:num w:numId="18" w16cid:durableId="1507481042">
    <w:abstractNumId w:val="30"/>
  </w:num>
  <w:num w:numId="19" w16cid:durableId="953680798">
    <w:abstractNumId w:val="24"/>
  </w:num>
  <w:num w:numId="20" w16cid:durableId="1645238325">
    <w:abstractNumId w:val="7"/>
  </w:num>
  <w:num w:numId="21" w16cid:durableId="96413125">
    <w:abstractNumId w:val="19"/>
  </w:num>
  <w:num w:numId="22" w16cid:durableId="598760645">
    <w:abstractNumId w:val="6"/>
  </w:num>
  <w:num w:numId="23" w16cid:durableId="925186165">
    <w:abstractNumId w:val="21"/>
  </w:num>
  <w:num w:numId="24" w16cid:durableId="757871244">
    <w:abstractNumId w:val="3"/>
  </w:num>
  <w:num w:numId="25" w16cid:durableId="1498617138">
    <w:abstractNumId w:val="16"/>
  </w:num>
  <w:num w:numId="26" w16cid:durableId="1638295493">
    <w:abstractNumId w:val="25"/>
  </w:num>
  <w:num w:numId="27" w16cid:durableId="1116367347">
    <w:abstractNumId w:val="13"/>
  </w:num>
  <w:num w:numId="28" w16cid:durableId="1353411628">
    <w:abstractNumId w:val="10"/>
  </w:num>
  <w:num w:numId="29" w16cid:durableId="268240932">
    <w:abstractNumId w:val="9"/>
  </w:num>
  <w:num w:numId="30" w16cid:durableId="2077704595">
    <w:abstractNumId w:val="31"/>
  </w:num>
  <w:num w:numId="31" w16cid:durableId="1715959388">
    <w:abstractNumId w:val="11"/>
  </w:num>
  <w:num w:numId="32" w16cid:durableId="1969507062">
    <w:abstractNumId w:val="1"/>
  </w:num>
  <w:num w:numId="33" w16cid:durableId="55979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17"/>
    <w:rsid w:val="000011A2"/>
    <w:rsid w:val="0000140D"/>
    <w:rsid w:val="000037A3"/>
    <w:rsid w:val="0000433F"/>
    <w:rsid w:val="000067B0"/>
    <w:rsid w:val="000119C7"/>
    <w:rsid w:val="000131CB"/>
    <w:rsid w:val="0001547A"/>
    <w:rsid w:val="00016F38"/>
    <w:rsid w:val="00017D89"/>
    <w:rsid w:val="00025046"/>
    <w:rsid w:val="00025262"/>
    <w:rsid w:val="00025DDF"/>
    <w:rsid w:val="0003223D"/>
    <w:rsid w:val="0003428C"/>
    <w:rsid w:val="00035187"/>
    <w:rsid w:val="00036339"/>
    <w:rsid w:val="00040185"/>
    <w:rsid w:val="000404DE"/>
    <w:rsid w:val="00047F0F"/>
    <w:rsid w:val="0005304D"/>
    <w:rsid w:val="000559EA"/>
    <w:rsid w:val="0005682C"/>
    <w:rsid w:val="0005731B"/>
    <w:rsid w:val="0005786E"/>
    <w:rsid w:val="000601F3"/>
    <w:rsid w:val="00060339"/>
    <w:rsid w:val="00061FD6"/>
    <w:rsid w:val="0006556F"/>
    <w:rsid w:val="00065FA9"/>
    <w:rsid w:val="00066609"/>
    <w:rsid w:val="00076974"/>
    <w:rsid w:val="00080272"/>
    <w:rsid w:val="000817F2"/>
    <w:rsid w:val="0008234F"/>
    <w:rsid w:val="00082537"/>
    <w:rsid w:val="000829CB"/>
    <w:rsid w:val="00083133"/>
    <w:rsid w:val="00083608"/>
    <w:rsid w:val="00091593"/>
    <w:rsid w:val="000931CA"/>
    <w:rsid w:val="00093736"/>
    <w:rsid w:val="0009391C"/>
    <w:rsid w:val="00094D0D"/>
    <w:rsid w:val="00094FB7"/>
    <w:rsid w:val="00096865"/>
    <w:rsid w:val="00096DC9"/>
    <w:rsid w:val="000A0A48"/>
    <w:rsid w:val="000A3C34"/>
    <w:rsid w:val="000A40B8"/>
    <w:rsid w:val="000A7ED1"/>
    <w:rsid w:val="000B1052"/>
    <w:rsid w:val="000B247D"/>
    <w:rsid w:val="000B6694"/>
    <w:rsid w:val="000B7354"/>
    <w:rsid w:val="000C0E14"/>
    <w:rsid w:val="000C3905"/>
    <w:rsid w:val="000C6FC1"/>
    <w:rsid w:val="000D09D5"/>
    <w:rsid w:val="000D0BD1"/>
    <w:rsid w:val="000D1362"/>
    <w:rsid w:val="000D2CB4"/>
    <w:rsid w:val="000D4E62"/>
    <w:rsid w:val="000D5366"/>
    <w:rsid w:val="000D6948"/>
    <w:rsid w:val="000D7BE0"/>
    <w:rsid w:val="000E012E"/>
    <w:rsid w:val="000E6A16"/>
    <w:rsid w:val="000E6AF8"/>
    <w:rsid w:val="000E76E7"/>
    <w:rsid w:val="000F0F69"/>
    <w:rsid w:val="000F160A"/>
    <w:rsid w:val="000F24CB"/>
    <w:rsid w:val="000F2FD2"/>
    <w:rsid w:val="000F3D1B"/>
    <w:rsid w:val="000F4B03"/>
    <w:rsid w:val="000F6BD7"/>
    <w:rsid w:val="00101731"/>
    <w:rsid w:val="00103F13"/>
    <w:rsid w:val="001049D6"/>
    <w:rsid w:val="00110647"/>
    <w:rsid w:val="001106CB"/>
    <w:rsid w:val="00111D8F"/>
    <w:rsid w:val="001146D4"/>
    <w:rsid w:val="00115A6D"/>
    <w:rsid w:val="00115B72"/>
    <w:rsid w:val="001210EB"/>
    <w:rsid w:val="00121ED0"/>
    <w:rsid w:val="00125D87"/>
    <w:rsid w:val="001310ED"/>
    <w:rsid w:val="001335B2"/>
    <w:rsid w:val="00137658"/>
    <w:rsid w:val="00140692"/>
    <w:rsid w:val="00140D33"/>
    <w:rsid w:val="00141A2A"/>
    <w:rsid w:val="00143DA7"/>
    <w:rsid w:val="00144BC5"/>
    <w:rsid w:val="001519A5"/>
    <w:rsid w:val="00153B52"/>
    <w:rsid w:val="00154F75"/>
    <w:rsid w:val="00155E3F"/>
    <w:rsid w:val="00156CB6"/>
    <w:rsid w:val="00160175"/>
    <w:rsid w:val="00161891"/>
    <w:rsid w:val="00163E00"/>
    <w:rsid w:val="001645D9"/>
    <w:rsid w:val="00166191"/>
    <w:rsid w:val="0017146D"/>
    <w:rsid w:val="001737EF"/>
    <w:rsid w:val="00173CF9"/>
    <w:rsid w:val="0017649E"/>
    <w:rsid w:val="00185B74"/>
    <w:rsid w:val="00185F1C"/>
    <w:rsid w:val="001905EA"/>
    <w:rsid w:val="00191968"/>
    <w:rsid w:val="00191D7E"/>
    <w:rsid w:val="00194D5E"/>
    <w:rsid w:val="00196D8C"/>
    <w:rsid w:val="00197DA4"/>
    <w:rsid w:val="001A027E"/>
    <w:rsid w:val="001A0AA1"/>
    <w:rsid w:val="001B02BC"/>
    <w:rsid w:val="001B106B"/>
    <w:rsid w:val="001B658B"/>
    <w:rsid w:val="001C030B"/>
    <w:rsid w:val="001C6D8A"/>
    <w:rsid w:val="001C731C"/>
    <w:rsid w:val="001C7F32"/>
    <w:rsid w:val="001D2FF1"/>
    <w:rsid w:val="001D453B"/>
    <w:rsid w:val="001D4B48"/>
    <w:rsid w:val="001D4B7D"/>
    <w:rsid w:val="001D57EE"/>
    <w:rsid w:val="001E1425"/>
    <w:rsid w:val="001E54FE"/>
    <w:rsid w:val="001E7B17"/>
    <w:rsid w:val="001F3DE6"/>
    <w:rsid w:val="00205464"/>
    <w:rsid w:val="002056C1"/>
    <w:rsid w:val="0020733A"/>
    <w:rsid w:val="00212E17"/>
    <w:rsid w:val="002131EC"/>
    <w:rsid w:val="00213225"/>
    <w:rsid w:val="00214E55"/>
    <w:rsid w:val="00215BAA"/>
    <w:rsid w:val="00216859"/>
    <w:rsid w:val="0022089E"/>
    <w:rsid w:val="00221FB2"/>
    <w:rsid w:val="00223995"/>
    <w:rsid w:val="002263A5"/>
    <w:rsid w:val="0023095C"/>
    <w:rsid w:val="00231883"/>
    <w:rsid w:val="00234CC7"/>
    <w:rsid w:val="00235F00"/>
    <w:rsid w:val="002363B9"/>
    <w:rsid w:val="00236F53"/>
    <w:rsid w:val="002428B0"/>
    <w:rsid w:val="00242BA4"/>
    <w:rsid w:val="00244B25"/>
    <w:rsid w:val="002507D8"/>
    <w:rsid w:val="002524AC"/>
    <w:rsid w:val="002563AA"/>
    <w:rsid w:val="00261831"/>
    <w:rsid w:val="00261FD0"/>
    <w:rsid w:val="002630BA"/>
    <w:rsid w:val="002671FB"/>
    <w:rsid w:val="002723D0"/>
    <w:rsid w:val="00272A72"/>
    <w:rsid w:val="00281605"/>
    <w:rsid w:val="0028164B"/>
    <w:rsid w:val="002829D3"/>
    <w:rsid w:val="00283AF5"/>
    <w:rsid w:val="00284BB9"/>
    <w:rsid w:val="002860FA"/>
    <w:rsid w:val="002921F3"/>
    <w:rsid w:val="00292901"/>
    <w:rsid w:val="002953C3"/>
    <w:rsid w:val="002A0CAA"/>
    <w:rsid w:val="002A2430"/>
    <w:rsid w:val="002A3E52"/>
    <w:rsid w:val="002B5C29"/>
    <w:rsid w:val="002C0C25"/>
    <w:rsid w:val="002C1246"/>
    <w:rsid w:val="002C2A07"/>
    <w:rsid w:val="002C2E10"/>
    <w:rsid w:val="002C3329"/>
    <w:rsid w:val="002C4D9D"/>
    <w:rsid w:val="002D0D37"/>
    <w:rsid w:val="002D4A73"/>
    <w:rsid w:val="002D5AA9"/>
    <w:rsid w:val="002D5D86"/>
    <w:rsid w:val="002D6ACF"/>
    <w:rsid w:val="002D7F3B"/>
    <w:rsid w:val="002E0D0D"/>
    <w:rsid w:val="002E5E1B"/>
    <w:rsid w:val="002E6E36"/>
    <w:rsid w:val="002E7C64"/>
    <w:rsid w:val="002F245E"/>
    <w:rsid w:val="002F336A"/>
    <w:rsid w:val="002F3F6C"/>
    <w:rsid w:val="002F7465"/>
    <w:rsid w:val="002F7B46"/>
    <w:rsid w:val="00300E86"/>
    <w:rsid w:val="003052EC"/>
    <w:rsid w:val="003057F3"/>
    <w:rsid w:val="00307819"/>
    <w:rsid w:val="0031107A"/>
    <w:rsid w:val="0031205B"/>
    <w:rsid w:val="00313D98"/>
    <w:rsid w:val="0031656A"/>
    <w:rsid w:val="003204F2"/>
    <w:rsid w:val="003220D4"/>
    <w:rsid w:val="0032493F"/>
    <w:rsid w:val="00325D20"/>
    <w:rsid w:val="00325E84"/>
    <w:rsid w:val="00326973"/>
    <w:rsid w:val="00330236"/>
    <w:rsid w:val="00333847"/>
    <w:rsid w:val="003345A5"/>
    <w:rsid w:val="003348E3"/>
    <w:rsid w:val="00335999"/>
    <w:rsid w:val="00337F21"/>
    <w:rsid w:val="00342F3C"/>
    <w:rsid w:val="00345394"/>
    <w:rsid w:val="00345F14"/>
    <w:rsid w:val="003476D9"/>
    <w:rsid w:val="003500D4"/>
    <w:rsid w:val="00350293"/>
    <w:rsid w:val="00352941"/>
    <w:rsid w:val="00357D17"/>
    <w:rsid w:val="0036015F"/>
    <w:rsid w:val="00360805"/>
    <w:rsid w:val="003626BE"/>
    <w:rsid w:val="00362DEC"/>
    <w:rsid w:val="003635D9"/>
    <w:rsid w:val="00363974"/>
    <w:rsid w:val="0036475F"/>
    <w:rsid w:val="003649AE"/>
    <w:rsid w:val="003666BF"/>
    <w:rsid w:val="003667B8"/>
    <w:rsid w:val="003732C1"/>
    <w:rsid w:val="00377A0D"/>
    <w:rsid w:val="0038044A"/>
    <w:rsid w:val="00381B12"/>
    <w:rsid w:val="003830CB"/>
    <w:rsid w:val="00385568"/>
    <w:rsid w:val="00386723"/>
    <w:rsid w:val="003941E1"/>
    <w:rsid w:val="00397070"/>
    <w:rsid w:val="003A059C"/>
    <w:rsid w:val="003A1849"/>
    <w:rsid w:val="003A1C0C"/>
    <w:rsid w:val="003A220F"/>
    <w:rsid w:val="003A75C8"/>
    <w:rsid w:val="003B0851"/>
    <w:rsid w:val="003B46F6"/>
    <w:rsid w:val="003C10B8"/>
    <w:rsid w:val="003C28DF"/>
    <w:rsid w:val="003C3947"/>
    <w:rsid w:val="003C3F2E"/>
    <w:rsid w:val="003C69EC"/>
    <w:rsid w:val="003D16E4"/>
    <w:rsid w:val="003D184F"/>
    <w:rsid w:val="003D4CCD"/>
    <w:rsid w:val="003D4EB7"/>
    <w:rsid w:val="003D5E4B"/>
    <w:rsid w:val="003E16A9"/>
    <w:rsid w:val="003E2D70"/>
    <w:rsid w:val="003E2FBC"/>
    <w:rsid w:val="003E3467"/>
    <w:rsid w:val="003F1A45"/>
    <w:rsid w:val="003F1FFD"/>
    <w:rsid w:val="003F350B"/>
    <w:rsid w:val="00402D0E"/>
    <w:rsid w:val="00417198"/>
    <w:rsid w:val="004174CA"/>
    <w:rsid w:val="00417B9A"/>
    <w:rsid w:val="00420985"/>
    <w:rsid w:val="00424822"/>
    <w:rsid w:val="004278DB"/>
    <w:rsid w:val="00427C6F"/>
    <w:rsid w:val="00431B5F"/>
    <w:rsid w:val="00437D15"/>
    <w:rsid w:val="004426E3"/>
    <w:rsid w:val="004433D2"/>
    <w:rsid w:val="00443912"/>
    <w:rsid w:val="004474A0"/>
    <w:rsid w:val="004475ED"/>
    <w:rsid w:val="00454FBA"/>
    <w:rsid w:val="0045641E"/>
    <w:rsid w:val="004570AC"/>
    <w:rsid w:val="00460A7D"/>
    <w:rsid w:val="00474F12"/>
    <w:rsid w:val="00483573"/>
    <w:rsid w:val="00483634"/>
    <w:rsid w:val="00484DEE"/>
    <w:rsid w:val="004850FC"/>
    <w:rsid w:val="00492F9E"/>
    <w:rsid w:val="00493AE6"/>
    <w:rsid w:val="00495886"/>
    <w:rsid w:val="00497957"/>
    <w:rsid w:val="004A2148"/>
    <w:rsid w:val="004A3E48"/>
    <w:rsid w:val="004A5D3A"/>
    <w:rsid w:val="004C0C59"/>
    <w:rsid w:val="004C27C0"/>
    <w:rsid w:val="004C3384"/>
    <w:rsid w:val="004C752A"/>
    <w:rsid w:val="004D11AE"/>
    <w:rsid w:val="004D16A2"/>
    <w:rsid w:val="004D2F16"/>
    <w:rsid w:val="004D3231"/>
    <w:rsid w:val="004D42DA"/>
    <w:rsid w:val="004D4F7F"/>
    <w:rsid w:val="004D5822"/>
    <w:rsid w:val="004E070D"/>
    <w:rsid w:val="004E0C53"/>
    <w:rsid w:val="004E205D"/>
    <w:rsid w:val="004E21EB"/>
    <w:rsid w:val="004E2705"/>
    <w:rsid w:val="004E4E06"/>
    <w:rsid w:val="004E5A70"/>
    <w:rsid w:val="004E633D"/>
    <w:rsid w:val="004E72C3"/>
    <w:rsid w:val="004F0D68"/>
    <w:rsid w:val="004F49B6"/>
    <w:rsid w:val="004F7056"/>
    <w:rsid w:val="004F7544"/>
    <w:rsid w:val="004F789C"/>
    <w:rsid w:val="00503C58"/>
    <w:rsid w:val="00505C79"/>
    <w:rsid w:val="00506051"/>
    <w:rsid w:val="005071D9"/>
    <w:rsid w:val="005077A1"/>
    <w:rsid w:val="005118BA"/>
    <w:rsid w:val="00513CDF"/>
    <w:rsid w:val="00514D1C"/>
    <w:rsid w:val="00515DAA"/>
    <w:rsid w:val="00521EA3"/>
    <w:rsid w:val="005273AD"/>
    <w:rsid w:val="005276D4"/>
    <w:rsid w:val="00527D64"/>
    <w:rsid w:val="00530F8C"/>
    <w:rsid w:val="0053104D"/>
    <w:rsid w:val="00531CBC"/>
    <w:rsid w:val="00534FBD"/>
    <w:rsid w:val="00541E4F"/>
    <w:rsid w:val="00541EF0"/>
    <w:rsid w:val="00543054"/>
    <w:rsid w:val="00544082"/>
    <w:rsid w:val="00544C3C"/>
    <w:rsid w:val="00546A88"/>
    <w:rsid w:val="00550A76"/>
    <w:rsid w:val="00551E4A"/>
    <w:rsid w:val="005540B1"/>
    <w:rsid w:val="00563EDC"/>
    <w:rsid w:val="00564223"/>
    <w:rsid w:val="005657F0"/>
    <w:rsid w:val="00570118"/>
    <w:rsid w:val="00570D18"/>
    <w:rsid w:val="005719AB"/>
    <w:rsid w:val="00572D73"/>
    <w:rsid w:val="00573BE5"/>
    <w:rsid w:val="00574F6A"/>
    <w:rsid w:val="00576D56"/>
    <w:rsid w:val="00576DD7"/>
    <w:rsid w:val="00580964"/>
    <w:rsid w:val="00582615"/>
    <w:rsid w:val="00582A6E"/>
    <w:rsid w:val="00582F9A"/>
    <w:rsid w:val="005831F7"/>
    <w:rsid w:val="00584DB0"/>
    <w:rsid w:val="00584EF6"/>
    <w:rsid w:val="0058641B"/>
    <w:rsid w:val="005871F7"/>
    <w:rsid w:val="00590C44"/>
    <w:rsid w:val="00593389"/>
    <w:rsid w:val="00596BDA"/>
    <w:rsid w:val="005A025B"/>
    <w:rsid w:val="005A18FE"/>
    <w:rsid w:val="005A557A"/>
    <w:rsid w:val="005A7288"/>
    <w:rsid w:val="005A72C8"/>
    <w:rsid w:val="005A75B6"/>
    <w:rsid w:val="005A7636"/>
    <w:rsid w:val="005B0971"/>
    <w:rsid w:val="005C49FF"/>
    <w:rsid w:val="005C4A7F"/>
    <w:rsid w:val="005D0FBA"/>
    <w:rsid w:val="005D1DA6"/>
    <w:rsid w:val="005D2351"/>
    <w:rsid w:val="005D2608"/>
    <w:rsid w:val="005D2834"/>
    <w:rsid w:val="005D467E"/>
    <w:rsid w:val="005D59EE"/>
    <w:rsid w:val="005D6082"/>
    <w:rsid w:val="005D7864"/>
    <w:rsid w:val="005E3A1A"/>
    <w:rsid w:val="005E3B2A"/>
    <w:rsid w:val="005E4F44"/>
    <w:rsid w:val="005E79D5"/>
    <w:rsid w:val="005F2A87"/>
    <w:rsid w:val="005F3A52"/>
    <w:rsid w:val="005F6A8A"/>
    <w:rsid w:val="00601595"/>
    <w:rsid w:val="0060533C"/>
    <w:rsid w:val="00605648"/>
    <w:rsid w:val="0060690C"/>
    <w:rsid w:val="0061214C"/>
    <w:rsid w:val="00614B64"/>
    <w:rsid w:val="00617009"/>
    <w:rsid w:val="00617087"/>
    <w:rsid w:val="00617E73"/>
    <w:rsid w:val="00617FBF"/>
    <w:rsid w:val="00624680"/>
    <w:rsid w:val="00626D96"/>
    <w:rsid w:val="006274B6"/>
    <w:rsid w:val="00627505"/>
    <w:rsid w:val="00627DF0"/>
    <w:rsid w:val="006375A2"/>
    <w:rsid w:val="00641DF7"/>
    <w:rsid w:val="00644B46"/>
    <w:rsid w:val="00646301"/>
    <w:rsid w:val="00653045"/>
    <w:rsid w:val="00657A47"/>
    <w:rsid w:val="0066031B"/>
    <w:rsid w:val="00661FAC"/>
    <w:rsid w:val="0066690A"/>
    <w:rsid w:val="00671339"/>
    <w:rsid w:val="00673ABC"/>
    <w:rsid w:val="0067431C"/>
    <w:rsid w:val="00674A83"/>
    <w:rsid w:val="00681CBB"/>
    <w:rsid w:val="0068347C"/>
    <w:rsid w:val="00683DF7"/>
    <w:rsid w:val="00684544"/>
    <w:rsid w:val="00687A94"/>
    <w:rsid w:val="00697747"/>
    <w:rsid w:val="00697ABA"/>
    <w:rsid w:val="006A12CB"/>
    <w:rsid w:val="006A3B7C"/>
    <w:rsid w:val="006A3E9C"/>
    <w:rsid w:val="006B085D"/>
    <w:rsid w:val="006B13F9"/>
    <w:rsid w:val="006B2C08"/>
    <w:rsid w:val="006C31FE"/>
    <w:rsid w:val="006C3ABD"/>
    <w:rsid w:val="006C5FDA"/>
    <w:rsid w:val="006C65DC"/>
    <w:rsid w:val="006D153B"/>
    <w:rsid w:val="006D2607"/>
    <w:rsid w:val="006D54BB"/>
    <w:rsid w:val="006E59CE"/>
    <w:rsid w:val="006E68FF"/>
    <w:rsid w:val="006E71CB"/>
    <w:rsid w:val="006E7FBD"/>
    <w:rsid w:val="006F3A8A"/>
    <w:rsid w:val="006F42E2"/>
    <w:rsid w:val="006F5CB0"/>
    <w:rsid w:val="006F6539"/>
    <w:rsid w:val="006F6F54"/>
    <w:rsid w:val="0070009C"/>
    <w:rsid w:val="00700A4D"/>
    <w:rsid w:val="00703296"/>
    <w:rsid w:val="00703758"/>
    <w:rsid w:val="007039A1"/>
    <w:rsid w:val="007063B7"/>
    <w:rsid w:val="00706979"/>
    <w:rsid w:val="007100FB"/>
    <w:rsid w:val="00714275"/>
    <w:rsid w:val="007208C9"/>
    <w:rsid w:val="007225F1"/>
    <w:rsid w:val="007261A2"/>
    <w:rsid w:val="007319F4"/>
    <w:rsid w:val="00733180"/>
    <w:rsid w:val="00737FF7"/>
    <w:rsid w:val="00742E94"/>
    <w:rsid w:val="0074340E"/>
    <w:rsid w:val="00746C11"/>
    <w:rsid w:val="007506F9"/>
    <w:rsid w:val="0075261D"/>
    <w:rsid w:val="00752A1E"/>
    <w:rsid w:val="007537B4"/>
    <w:rsid w:val="00754CA4"/>
    <w:rsid w:val="00757575"/>
    <w:rsid w:val="007628ED"/>
    <w:rsid w:val="00762D21"/>
    <w:rsid w:val="0076364B"/>
    <w:rsid w:val="0076595C"/>
    <w:rsid w:val="00766D1C"/>
    <w:rsid w:val="007672A2"/>
    <w:rsid w:val="0077073E"/>
    <w:rsid w:val="007711CB"/>
    <w:rsid w:val="007737A2"/>
    <w:rsid w:val="00774CBC"/>
    <w:rsid w:val="00775A28"/>
    <w:rsid w:val="00777605"/>
    <w:rsid w:val="007801AD"/>
    <w:rsid w:val="007828B8"/>
    <w:rsid w:val="00784D28"/>
    <w:rsid w:val="00790BFD"/>
    <w:rsid w:val="00794CB6"/>
    <w:rsid w:val="00795609"/>
    <w:rsid w:val="007A16D2"/>
    <w:rsid w:val="007A60D9"/>
    <w:rsid w:val="007A6A00"/>
    <w:rsid w:val="007B1236"/>
    <w:rsid w:val="007B20FB"/>
    <w:rsid w:val="007B5540"/>
    <w:rsid w:val="007B768C"/>
    <w:rsid w:val="007B78A3"/>
    <w:rsid w:val="007B7E99"/>
    <w:rsid w:val="007B7EE3"/>
    <w:rsid w:val="007C01A0"/>
    <w:rsid w:val="007C02DD"/>
    <w:rsid w:val="007C0CC6"/>
    <w:rsid w:val="007C102B"/>
    <w:rsid w:val="007C14B9"/>
    <w:rsid w:val="007C1F85"/>
    <w:rsid w:val="007C35E5"/>
    <w:rsid w:val="007C45BD"/>
    <w:rsid w:val="007C4775"/>
    <w:rsid w:val="007C5259"/>
    <w:rsid w:val="007C54F1"/>
    <w:rsid w:val="007C682D"/>
    <w:rsid w:val="007C77AA"/>
    <w:rsid w:val="007C7E3D"/>
    <w:rsid w:val="007C7EA1"/>
    <w:rsid w:val="007D1AB6"/>
    <w:rsid w:val="007D2090"/>
    <w:rsid w:val="007D2B7E"/>
    <w:rsid w:val="007D33DD"/>
    <w:rsid w:val="007D5809"/>
    <w:rsid w:val="007E2821"/>
    <w:rsid w:val="007E5D05"/>
    <w:rsid w:val="007E60E1"/>
    <w:rsid w:val="007E684D"/>
    <w:rsid w:val="007E699C"/>
    <w:rsid w:val="007E6E4B"/>
    <w:rsid w:val="007F18DD"/>
    <w:rsid w:val="007F4247"/>
    <w:rsid w:val="00800BF0"/>
    <w:rsid w:val="00801275"/>
    <w:rsid w:val="008034B4"/>
    <w:rsid w:val="008054D4"/>
    <w:rsid w:val="008102CC"/>
    <w:rsid w:val="008107C5"/>
    <w:rsid w:val="0081226C"/>
    <w:rsid w:val="0081227A"/>
    <w:rsid w:val="0081291A"/>
    <w:rsid w:val="00812A0F"/>
    <w:rsid w:val="00814754"/>
    <w:rsid w:val="0081515B"/>
    <w:rsid w:val="00815C30"/>
    <w:rsid w:val="00820335"/>
    <w:rsid w:val="008223ED"/>
    <w:rsid w:val="00822A08"/>
    <w:rsid w:val="00822BAB"/>
    <w:rsid w:val="00826703"/>
    <w:rsid w:val="00831E50"/>
    <w:rsid w:val="00832053"/>
    <w:rsid w:val="00833126"/>
    <w:rsid w:val="0083426D"/>
    <w:rsid w:val="00834E02"/>
    <w:rsid w:val="0083521C"/>
    <w:rsid w:val="00835DC7"/>
    <w:rsid w:val="0084106A"/>
    <w:rsid w:val="00841853"/>
    <w:rsid w:val="00841E76"/>
    <w:rsid w:val="00841E95"/>
    <w:rsid w:val="00844B6A"/>
    <w:rsid w:val="0084708B"/>
    <w:rsid w:val="00850B4A"/>
    <w:rsid w:val="00850E4B"/>
    <w:rsid w:val="00851DC8"/>
    <w:rsid w:val="008525F4"/>
    <w:rsid w:val="00852B01"/>
    <w:rsid w:val="008546D3"/>
    <w:rsid w:val="00855E47"/>
    <w:rsid w:val="008638BF"/>
    <w:rsid w:val="008659EC"/>
    <w:rsid w:val="00865F05"/>
    <w:rsid w:val="00866CF1"/>
    <w:rsid w:val="00870453"/>
    <w:rsid w:val="008718A5"/>
    <w:rsid w:val="008726EF"/>
    <w:rsid w:val="00874C3E"/>
    <w:rsid w:val="0087516C"/>
    <w:rsid w:val="0087673D"/>
    <w:rsid w:val="00880028"/>
    <w:rsid w:val="0088476C"/>
    <w:rsid w:val="008870EF"/>
    <w:rsid w:val="00887DC2"/>
    <w:rsid w:val="008912D1"/>
    <w:rsid w:val="0089164E"/>
    <w:rsid w:val="00892263"/>
    <w:rsid w:val="00894BDA"/>
    <w:rsid w:val="00894D18"/>
    <w:rsid w:val="00895DA5"/>
    <w:rsid w:val="008961F4"/>
    <w:rsid w:val="008A1421"/>
    <w:rsid w:val="008B56DD"/>
    <w:rsid w:val="008B6879"/>
    <w:rsid w:val="008B7168"/>
    <w:rsid w:val="008C0BE5"/>
    <w:rsid w:val="008C1073"/>
    <w:rsid w:val="008C11FC"/>
    <w:rsid w:val="008C25F9"/>
    <w:rsid w:val="008C28B0"/>
    <w:rsid w:val="008C410F"/>
    <w:rsid w:val="008C4598"/>
    <w:rsid w:val="008C47F3"/>
    <w:rsid w:val="008C60CC"/>
    <w:rsid w:val="008C74E7"/>
    <w:rsid w:val="008D0126"/>
    <w:rsid w:val="008D091B"/>
    <w:rsid w:val="008D242B"/>
    <w:rsid w:val="008D26DB"/>
    <w:rsid w:val="008D2AF9"/>
    <w:rsid w:val="008D3E4C"/>
    <w:rsid w:val="008D67D3"/>
    <w:rsid w:val="008E0345"/>
    <w:rsid w:val="008E24F8"/>
    <w:rsid w:val="008E491E"/>
    <w:rsid w:val="008E54DD"/>
    <w:rsid w:val="008F32EE"/>
    <w:rsid w:val="009008D5"/>
    <w:rsid w:val="00901CE1"/>
    <w:rsid w:val="009057C4"/>
    <w:rsid w:val="00906431"/>
    <w:rsid w:val="00914959"/>
    <w:rsid w:val="009155B9"/>
    <w:rsid w:val="009156FD"/>
    <w:rsid w:val="00916D9F"/>
    <w:rsid w:val="00921FF4"/>
    <w:rsid w:val="00930B3F"/>
    <w:rsid w:val="009313B4"/>
    <w:rsid w:val="009367AB"/>
    <w:rsid w:val="009408C9"/>
    <w:rsid w:val="00943081"/>
    <w:rsid w:val="00945A32"/>
    <w:rsid w:val="00950A4C"/>
    <w:rsid w:val="0095377C"/>
    <w:rsid w:val="00955546"/>
    <w:rsid w:val="0095637E"/>
    <w:rsid w:val="00960951"/>
    <w:rsid w:val="00960959"/>
    <w:rsid w:val="00960E3A"/>
    <w:rsid w:val="00961E74"/>
    <w:rsid w:val="00964558"/>
    <w:rsid w:val="00965194"/>
    <w:rsid w:val="009664A5"/>
    <w:rsid w:val="00966AA8"/>
    <w:rsid w:val="00971B35"/>
    <w:rsid w:val="00973E91"/>
    <w:rsid w:val="009766E2"/>
    <w:rsid w:val="00977DD5"/>
    <w:rsid w:val="00982CFF"/>
    <w:rsid w:val="00991E20"/>
    <w:rsid w:val="00992D2B"/>
    <w:rsid w:val="00994510"/>
    <w:rsid w:val="00996C40"/>
    <w:rsid w:val="009A0D27"/>
    <w:rsid w:val="009A4635"/>
    <w:rsid w:val="009A59AC"/>
    <w:rsid w:val="009A6BD7"/>
    <w:rsid w:val="009A6D67"/>
    <w:rsid w:val="009A733A"/>
    <w:rsid w:val="009B141F"/>
    <w:rsid w:val="009B36A7"/>
    <w:rsid w:val="009B3E02"/>
    <w:rsid w:val="009B62A0"/>
    <w:rsid w:val="009B68EE"/>
    <w:rsid w:val="009B68FE"/>
    <w:rsid w:val="009C0135"/>
    <w:rsid w:val="009C57DE"/>
    <w:rsid w:val="009C6308"/>
    <w:rsid w:val="009D028C"/>
    <w:rsid w:val="009D1766"/>
    <w:rsid w:val="009D20D6"/>
    <w:rsid w:val="009D407E"/>
    <w:rsid w:val="009E10DD"/>
    <w:rsid w:val="009E1EA9"/>
    <w:rsid w:val="009E1FC8"/>
    <w:rsid w:val="009E33F4"/>
    <w:rsid w:val="009E56D6"/>
    <w:rsid w:val="009E6C79"/>
    <w:rsid w:val="009E7717"/>
    <w:rsid w:val="009F546B"/>
    <w:rsid w:val="009F6BA4"/>
    <w:rsid w:val="009F7A02"/>
    <w:rsid w:val="00A03F2A"/>
    <w:rsid w:val="00A04DCF"/>
    <w:rsid w:val="00A05B41"/>
    <w:rsid w:val="00A06736"/>
    <w:rsid w:val="00A0745E"/>
    <w:rsid w:val="00A11D21"/>
    <w:rsid w:val="00A11D61"/>
    <w:rsid w:val="00A13B12"/>
    <w:rsid w:val="00A15882"/>
    <w:rsid w:val="00A15E3E"/>
    <w:rsid w:val="00A15F1C"/>
    <w:rsid w:val="00A16A80"/>
    <w:rsid w:val="00A20F9E"/>
    <w:rsid w:val="00A21466"/>
    <w:rsid w:val="00A21868"/>
    <w:rsid w:val="00A2707D"/>
    <w:rsid w:val="00A27472"/>
    <w:rsid w:val="00A3165B"/>
    <w:rsid w:val="00A3195E"/>
    <w:rsid w:val="00A32236"/>
    <w:rsid w:val="00A3544E"/>
    <w:rsid w:val="00A37C12"/>
    <w:rsid w:val="00A4027F"/>
    <w:rsid w:val="00A41597"/>
    <w:rsid w:val="00A447B6"/>
    <w:rsid w:val="00A469D1"/>
    <w:rsid w:val="00A471F7"/>
    <w:rsid w:val="00A50BFD"/>
    <w:rsid w:val="00A519C3"/>
    <w:rsid w:val="00A533A2"/>
    <w:rsid w:val="00A578B0"/>
    <w:rsid w:val="00A57A5D"/>
    <w:rsid w:val="00A57F64"/>
    <w:rsid w:val="00A63002"/>
    <w:rsid w:val="00A6335E"/>
    <w:rsid w:val="00A6470B"/>
    <w:rsid w:val="00A6660B"/>
    <w:rsid w:val="00A6707A"/>
    <w:rsid w:val="00A7118A"/>
    <w:rsid w:val="00A72C23"/>
    <w:rsid w:val="00A72D20"/>
    <w:rsid w:val="00A8128B"/>
    <w:rsid w:val="00A82A14"/>
    <w:rsid w:val="00A82CFA"/>
    <w:rsid w:val="00A83C12"/>
    <w:rsid w:val="00A907E0"/>
    <w:rsid w:val="00A91302"/>
    <w:rsid w:val="00A92E7C"/>
    <w:rsid w:val="00AA1FA9"/>
    <w:rsid w:val="00AA3C89"/>
    <w:rsid w:val="00AA3F42"/>
    <w:rsid w:val="00AA3F68"/>
    <w:rsid w:val="00AA6ABE"/>
    <w:rsid w:val="00AB0C93"/>
    <w:rsid w:val="00AB2776"/>
    <w:rsid w:val="00AB5EBB"/>
    <w:rsid w:val="00AB6D83"/>
    <w:rsid w:val="00AC3A8A"/>
    <w:rsid w:val="00AC3F24"/>
    <w:rsid w:val="00AC5672"/>
    <w:rsid w:val="00AC6681"/>
    <w:rsid w:val="00AC696D"/>
    <w:rsid w:val="00AD248A"/>
    <w:rsid w:val="00AD773D"/>
    <w:rsid w:val="00AD7C2E"/>
    <w:rsid w:val="00AE10A9"/>
    <w:rsid w:val="00AE4D7B"/>
    <w:rsid w:val="00AF0459"/>
    <w:rsid w:val="00AF0D05"/>
    <w:rsid w:val="00AF0FC9"/>
    <w:rsid w:val="00AF64D3"/>
    <w:rsid w:val="00AF65DB"/>
    <w:rsid w:val="00B03876"/>
    <w:rsid w:val="00B06434"/>
    <w:rsid w:val="00B07997"/>
    <w:rsid w:val="00B15DF9"/>
    <w:rsid w:val="00B1748A"/>
    <w:rsid w:val="00B176E5"/>
    <w:rsid w:val="00B17D81"/>
    <w:rsid w:val="00B22F81"/>
    <w:rsid w:val="00B2471A"/>
    <w:rsid w:val="00B25FE4"/>
    <w:rsid w:val="00B2613B"/>
    <w:rsid w:val="00B27F16"/>
    <w:rsid w:val="00B3016B"/>
    <w:rsid w:val="00B30297"/>
    <w:rsid w:val="00B31875"/>
    <w:rsid w:val="00B31C30"/>
    <w:rsid w:val="00B31E39"/>
    <w:rsid w:val="00B32520"/>
    <w:rsid w:val="00B331CF"/>
    <w:rsid w:val="00B34C4C"/>
    <w:rsid w:val="00B35E7B"/>
    <w:rsid w:val="00B3765D"/>
    <w:rsid w:val="00B409D6"/>
    <w:rsid w:val="00B426C8"/>
    <w:rsid w:val="00B434BF"/>
    <w:rsid w:val="00B44C6D"/>
    <w:rsid w:val="00B5743A"/>
    <w:rsid w:val="00B64891"/>
    <w:rsid w:val="00B655B9"/>
    <w:rsid w:val="00B70402"/>
    <w:rsid w:val="00B70C8C"/>
    <w:rsid w:val="00B713CF"/>
    <w:rsid w:val="00B71FB2"/>
    <w:rsid w:val="00B721DD"/>
    <w:rsid w:val="00B726D7"/>
    <w:rsid w:val="00B73CEE"/>
    <w:rsid w:val="00B8284D"/>
    <w:rsid w:val="00B83BA3"/>
    <w:rsid w:val="00B86014"/>
    <w:rsid w:val="00B91D1F"/>
    <w:rsid w:val="00B9349B"/>
    <w:rsid w:val="00B939B3"/>
    <w:rsid w:val="00B94827"/>
    <w:rsid w:val="00B94B9F"/>
    <w:rsid w:val="00B95820"/>
    <w:rsid w:val="00BA1E66"/>
    <w:rsid w:val="00BA2317"/>
    <w:rsid w:val="00BA5242"/>
    <w:rsid w:val="00BA5FD2"/>
    <w:rsid w:val="00BB399C"/>
    <w:rsid w:val="00BB3AEF"/>
    <w:rsid w:val="00BB7669"/>
    <w:rsid w:val="00BC166B"/>
    <w:rsid w:val="00BC6A52"/>
    <w:rsid w:val="00BD1146"/>
    <w:rsid w:val="00BD208E"/>
    <w:rsid w:val="00BD23EC"/>
    <w:rsid w:val="00BD47F3"/>
    <w:rsid w:val="00BD5A62"/>
    <w:rsid w:val="00BD71BA"/>
    <w:rsid w:val="00BE4853"/>
    <w:rsid w:val="00BE48DC"/>
    <w:rsid w:val="00BE67EB"/>
    <w:rsid w:val="00BE7523"/>
    <w:rsid w:val="00BE7CCA"/>
    <w:rsid w:val="00BF0DE0"/>
    <w:rsid w:val="00BF1633"/>
    <w:rsid w:val="00BF1E34"/>
    <w:rsid w:val="00BF4051"/>
    <w:rsid w:val="00BF49C6"/>
    <w:rsid w:val="00BF7AE9"/>
    <w:rsid w:val="00C03A96"/>
    <w:rsid w:val="00C06E4A"/>
    <w:rsid w:val="00C07874"/>
    <w:rsid w:val="00C1115F"/>
    <w:rsid w:val="00C11CFD"/>
    <w:rsid w:val="00C13594"/>
    <w:rsid w:val="00C13616"/>
    <w:rsid w:val="00C14DF1"/>
    <w:rsid w:val="00C21753"/>
    <w:rsid w:val="00C22175"/>
    <w:rsid w:val="00C23B25"/>
    <w:rsid w:val="00C24956"/>
    <w:rsid w:val="00C26759"/>
    <w:rsid w:val="00C2760D"/>
    <w:rsid w:val="00C30043"/>
    <w:rsid w:val="00C3031B"/>
    <w:rsid w:val="00C314AE"/>
    <w:rsid w:val="00C324E6"/>
    <w:rsid w:val="00C32A51"/>
    <w:rsid w:val="00C35853"/>
    <w:rsid w:val="00C35EEC"/>
    <w:rsid w:val="00C40D0D"/>
    <w:rsid w:val="00C4381F"/>
    <w:rsid w:val="00C44E04"/>
    <w:rsid w:val="00C4694E"/>
    <w:rsid w:val="00C46AA0"/>
    <w:rsid w:val="00C46DD9"/>
    <w:rsid w:val="00C47E4D"/>
    <w:rsid w:val="00C50EE3"/>
    <w:rsid w:val="00C53CF4"/>
    <w:rsid w:val="00C578E6"/>
    <w:rsid w:val="00C60E0B"/>
    <w:rsid w:val="00C62EE8"/>
    <w:rsid w:val="00C634D3"/>
    <w:rsid w:val="00C655A7"/>
    <w:rsid w:val="00C65C1D"/>
    <w:rsid w:val="00C664A1"/>
    <w:rsid w:val="00C666B1"/>
    <w:rsid w:val="00C66D97"/>
    <w:rsid w:val="00C67B2C"/>
    <w:rsid w:val="00C75267"/>
    <w:rsid w:val="00C76BF3"/>
    <w:rsid w:val="00C81A10"/>
    <w:rsid w:val="00C85EC6"/>
    <w:rsid w:val="00C8677E"/>
    <w:rsid w:val="00C929E2"/>
    <w:rsid w:val="00C934DD"/>
    <w:rsid w:val="00C95E46"/>
    <w:rsid w:val="00CA4758"/>
    <w:rsid w:val="00CA5949"/>
    <w:rsid w:val="00CA5980"/>
    <w:rsid w:val="00CA6355"/>
    <w:rsid w:val="00CB0B78"/>
    <w:rsid w:val="00CB14F6"/>
    <w:rsid w:val="00CB46AB"/>
    <w:rsid w:val="00CB4C0A"/>
    <w:rsid w:val="00CB5E83"/>
    <w:rsid w:val="00CB72E1"/>
    <w:rsid w:val="00CB7551"/>
    <w:rsid w:val="00CC0C51"/>
    <w:rsid w:val="00CC1F46"/>
    <w:rsid w:val="00CC550D"/>
    <w:rsid w:val="00CD05AE"/>
    <w:rsid w:val="00CD0787"/>
    <w:rsid w:val="00CD1379"/>
    <w:rsid w:val="00CD1E0D"/>
    <w:rsid w:val="00CD32DC"/>
    <w:rsid w:val="00CE16BD"/>
    <w:rsid w:val="00CE3C59"/>
    <w:rsid w:val="00CE603B"/>
    <w:rsid w:val="00CF0519"/>
    <w:rsid w:val="00CF20DA"/>
    <w:rsid w:val="00D01FEC"/>
    <w:rsid w:val="00D031F4"/>
    <w:rsid w:val="00D074CB"/>
    <w:rsid w:val="00D07972"/>
    <w:rsid w:val="00D079D8"/>
    <w:rsid w:val="00D1582E"/>
    <w:rsid w:val="00D2641B"/>
    <w:rsid w:val="00D3012E"/>
    <w:rsid w:val="00D3052D"/>
    <w:rsid w:val="00D31448"/>
    <w:rsid w:val="00D31DEB"/>
    <w:rsid w:val="00D32AD3"/>
    <w:rsid w:val="00D33612"/>
    <w:rsid w:val="00D34865"/>
    <w:rsid w:val="00D348B1"/>
    <w:rsid w:val="00D36523"/>
    <w:rsid w:val="00D414A1"/>
    <w:rsid w:val="00D45C36"/>
    <w:rsid w:val="00D466A0"/>
    <w:rsid w:val="00D4771B"/>
    <w:rsid w:val="00D54EC5"/>
    <w:rsid w:val="00D61BA2"/>
    <w:rsid w:val="00D62964"/>
    <w:rsid w:val="00D660CF"/>
    <w:rsid w:val="00D7603D"/>
    <w:rsid w:val="00D766D7"/>
    <w:rsid w:val="00D8232F"/>
    <w:rsid w:val="00D87687"/>
    <w:rsid w:val="00D91210"/>
    <w:rsid w:val="00D92FEC"/>
    <w:rsid w:val="00D93114"/>
    <w:rsid w:val="00D937B4"/>
    <w:rsid w:val="00D96AC2"/>
    <w:rsid w:val="00D96C34"/>
    <w:rsid w:val="00D96E14"/>
    <w:rsid w:val="00DA54EC"/>
    <w:rsid w:val="00DA6974"/>
    <w:rsid w:val="00DA7576"/>
    <w:rsid w:val="00DB2117"/>
    <w:rsid w:val="00DB3D15"/>
    <w:rsid w:val="00DB4DF9"/>
    <w:rsid w:val="00DC342D"/>
    <w:rsid w:val="00DC5136"/>
    <w:rsid w:val="00DC70CF"/>
    <w:rsid w:val="00DD3588"/>
    <w:rsid w:val="00DD61D4"/>
    <w:rsid w:val="00DE2A68"/>
    <w:rsid w:val="00DE6124"/>
    <w:rsid w:val="00DE7BDC"/>
    <w:rsid w:val="00DF00CD"/>
    <w:rsid w:val="00DF0FDD"/>
    <w:rsid w:val="00DF543C"/>
    <w:rsid w:val="00DF7FC0"/>
    <w:rsid w:val="00E04333"/>
    <w:rsid w:val="00E043E3"/>
    <w:rsid w:val="00E04580"/>
    <w:rsid w:val="00E05890"/>
    <w:rsid w:val="00E07B81"/>
    <w:rsid w:val="00E07EDE"/>
    <w:rsid w:val="00E07FD8"/>
    <w:rsid w:val="00E100A7"/>
    <w:rsid w:val="00E1051A"/>
    <w:rsid w:val="00E121C2"/>
    <w:rsid w:val="00E13C40"/>
    <w:rsid w:val="00E14468"/>
    <w:rsid w:val="00E15D38"/>
    <w:rsid w:val="00E21CE4"/>
    <w:rsid w:val="00E24B16"/>
    <w:rsid w:val="00E26317"/>
    <w:rsid w:val="00E263D6"/>
    <w:rsid w:val="00E31677"/>
    <w:rsid w:val="00E3297A"/>
    <w:rsid w:val="00E32E1D"/>
    <w:rsid w:val="00E331E9"/>
    <w:rsid w:val="00E35A3B"/>
    <w:rsid w:val="00E36287"/>
    <w:rsid w:val="00E3737C"/>
    <w:rsid w:val="00E373F6"/>
    <w:rsid w:val="00E467A4"/>
    <w:rsid w:val="00E51C6D"/>
    <w:rsid w:val="00E539D7"/>
    <w:rsid w:val="00E53CE6"/>
    <w:rsid w:val="00E553B3"/>
    <w:rsid w:val="00E602E6"/>
    <w:rsid w:val="00E60D8C"/>
    <w:rsid w:val="00E618ED"/>
    <w:rsid w:val="00E62D6C"/>
    <w:rsid w:val="00E63F17"/>
    <w:rsid w:val="00E640A3"/>
    <w:rsid w:val="00E6599A"/>
    <w:rsid w:val="00E67760"/>
    <w:rsid w:val="00E714BF"/>
    <w:rsid w:val="00E7199A"/>
    <w:rsid w:val="00E72285"/>
    <w:rsid w:val="00E75FD6"/>
    <w:rsid w:val="00E766D1"/>
    <w:rsid w:val="00E76EB6"/>
    <w:rsid w:val="00E8164E"/>
    <w:rsid w:val="00E82203"/>
    <w:rsid w:val="00E84CEA"/>
    <w:rsid w:val="00E867D3"/>
    <w:rsid w:val="00E86CD6"/>
    <w:rsid w:val="00E90EAE"/>
    <w:rsid w:val="00E93067"/>
    <w:rsid w:val="00E9497D"/>
    <w:rsid w:val="00E95EA9"/>
    <w:rsid w:val="00E968B0"/>
    <w:rsid w:val="00E971FC"/>
    <w:rsid w:val="00EA15C5"/>
    <w:rsid w:val="00EA67EE"/>
    <w:rsid w:val="00EA7442"/>
    <w:rsid w:val="00EB03CF"/>
    <w:rsid w:val="00EB03E6"/>
    <w:rsid w:val="00EB272A"/>
    <w:rsid w:val="00EB43AC"/>
    <w:rsid w:val="00EC245C"/>
    <w:rsid w:val="00EC2F72"/>
    <w:rsid w:val="00EC50DB"/>
    <w:rsid w:val="00ED03FF"/>
    <w:rsid w:val="00ED2F4A"/>
    <w:rsid w:val="00ED352F"/>
    <w:rsid w:val="00ED372D"/>
    <w:rsid w:val="00ED39FE"/>
    <w:rsid w:val="00ED3EBD"/>
    <w:rsid w:val="00ED5A37"/>
    <w:rsid w:val="00EE1D01"/>
    <w:rsid w:val="00EE2119"/>
    <w:rsid w:val="00EE7815"/>
    <w:rsid w:val="00EF0C29"/>
    <w:rsid w:val="00EF60A4"/>
    <w:rsid w:val="00EF6D3D"/>
    <w:rsid w:val="00EF7CD8"/>
    <w:rsid w:val="00F06556"/>
    <w:rsid w:val="00F0703E"/>
    <w:rsid w:val="00F103F8"/>
    <w:rsid w:val="00F10A93"/>
    <w:rsid w:val="00F12EE6"/>
    <w:rsid w:val="00F138B2"/>
    <w:rsid w:val="00F145B5"/>
    <w:rsid w:val="00F16C25"/>
    <w:rsid w:val="00F21683"/>
    <w:rsid w:val="00F26888"/>
    <w:rsid w:val="00F350FF"/>
    <w:rsid w:val="00F40586"/>
    <w:rsid w:val="00F415D5"/>
    <w:rsid w:val="00F41C76"/>
    <w:rsid w:val="00F43B28"/>
    <w:rsid w:val="00F47533"/>
    <w:rsid w:val="00F513F2"/>
    <w:rsid w:val="00F518BE"/>
    <w:rsid w:val="00F51A70"/>
    <w:rsid w:val="00F51FAA"/>
    <w:rsid w:val="00F52F44"/>
    <w:rsid w:val="00F53529"/>
    <w:rsid w:val="00F55B3A"/>
    <w:rsid w:val="00F55C04"/>
    <w:rsid w:val="00F64661"/>
    <w:rsid w:val="00F70A0B"/>
    <w:rsid w:val="00F70E70"/>
    <w:rsid w:val="00F71DB1"/>
    <w:rsid w:val="00F738B5"/>
    <w:rsid w:val="00F746CC"/>
    <w:rsid w:val="00F74CE2"/>
    <w:rsid w:val="00F759DD"/>
    <w:rsid w:val="00F8026B"/>
    <w:rsid w:val="00F805B7"/>
    <w:rsid w:val="00F839FD"/>
    <w:rsid w:val="00F907BB"/>
    <w:rsid w:val="00F9117F"/>
    <w:rsid w:val="00FA1F9C"/>
    <w:rsid w:val="00FA3117"/>
    <w:rsid w:val="00FA3568"/>
    <w:rsid w:val="00FB039A"/>
    <w:rsid w:val="00FB25D8"/>
    <w:rsid w:val="00FB33F5"/>
    <w:rsid w:val="00FB542E"/>
    <w:rsid w:val="00FC2074"/>
    <w:rsid w:val="00FC5571"/>
    <w:rsid w:val="00FC7E05"/>
    <w:rsid w:val="00FD009E"/>
    <w:rsid w:val="00FD058F"/>
    <w:rsid w:val="00FD1D51"/>
    <w:rsid w:val="00FD1FF9"/>
    <w:rsid w:val="00FD21FB"/>
    <w:rsid w:val="00FD3EE4"/>
    <w:rsid w:val="00FD7A5B"/>
    <w:rsid w:val="00FE2EEE"/>
    <w:rsid w:val="00FE3A83"/>
    <w:rsid w:val="00FE7E48"/>
    <w:rsid w:val="00FF0F4F"/>
    <w:rsid w:val="00FF40B5"/>
    <w:rsid w:val="00FF53EA"/>
    <w:rsid w:val="00FF541C"/>
    <w:rsid w:val="073094A3"/>
    <w:rsid w:val="0C0245FE"/>
    <w:rsid w:val="0CFFB544"/>
    <w:rsid w:val="16449373"/>
    <w:rsid w:val="1BCC05B7"/>
    <w:rsid w:val="1EC696EC"/>
    <w:rsid w:val="25A1B748"/>
    <w:rsid w:val="27E985C5"/>
    <w:rsid w:val="3E85B590"/>
    <w:rsid w:val="4089C76F"/>
    <w:rsid w:val="4D4DF32A"/>
    <w:rsid w:val="55B927FA"/>
    <w:rsid w:val="5A27C244"/>
    <w:rsid w:val="5E0864DF"/>
    <w:rsid w:val="6E6910E4"/>
    <w:rsid w:val="78A00585"/>
    <w:rsid w:val="791C7732"/>
    <w:rsid w:val="7AC24113"/>
    <w:rsid w:val="7CD8D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9C3C"/>
  <w15:chartTrackingRefBased/>
  <w15:docId w15:val="{508943D4-FCD5-47DB-9669-0616D4D2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17"/>
    <w:pPr>
      <w:spacing w:after="0" w:line="276" w:lineRule="auto"/>
    </w:pPr>
    <w:rPr>
      <w:rFonts w:ascii="Arial" w:eastAsia="Arial" w:hAnsi="Arial" w:cs="Arial"/>
      <w:lang w:val="en"/>
    </w:rPr>
  </w:style>
  <w:style w:type="paragraph" w:styleId="Heading1">
    <w:name w:val="heading 1"/>
    <w:basedOn w:val="Normal"/>
    <w:link w:val="Heading1Char"/>
    <w:uiPriority w:val="9"/>
    <w:qFormat/>
    <w:rsid w:val="00945A3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1E7B1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1E7B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B17"/>
    <w:rPr>
      <w:rFonts w:ascii="Arial" w:eastAsia="Arial" w:hAnsi="Arial" w:cs="Arial"/>
      <w:sz w:val="32"/>
      <w:szCs w:val="32"/>
      <w:lang w:val="en"/>
    </w:rPr>
  </w:style>
  <w:style w:type="paragraph" w:styleId="Caption">
    <w:name w:val="caption"/>
    <w:basedOn w:val="Normal"/>
    <w:next w:val="BodyText"/>
    <w:link w:val="CaptionChar"/>
    <w:qFormat/>
    <w:rsid w:val="001E7B17"/>
    <w:pPr>
      <w:keepNext/>
      <w:spacing w:before="240" w:after="120" w:line="240" w:lineRule="auto"/>
      <w:ind w:left="90"/>
      <w:jc w:val="center"/>
    </w:pPr>
    <w:rPr>
      <w:rFonts w:ascii="Times New Roman" w:eastAsia="Times New Roman" w:hAnsi="Times New Roman" w:cs="Times New Roman"/>
      <w:b/>
      <w:bCs/>
      <w:i/>
      <w:sz w:val="20"/>
      <w:szCs w:val="20"/>
      <w:lang w:val="en-US"/>
    </w:rPr>
  </w:style>
  <w:style w:type="character" w:customStyle="1" w:styleId="CaptionChar">
    <w:name w:val="Caption Char"/>
    <w:basedOn w:val="DefaultParagraphFont"/>
    <w:link w:val="Caption"/>
    <w:rsid w:val="001E7B17"/>
    <w:rPr>
      <w:rFonts w:ascii="Times New Roman" w:eastAsia="Times New Roman" w:hAnsi="Times New Roman" w:cs="Times New Roman"/>
      <w:b/>
      <w:bCs/>
      <w:i/>
      <w:sz w:val="20"/>
      <w:szCs w:val="20"/>
    </w:rPr>
  </w:style>
  <w:style w:type="paragraph" w:customStyle="1" w:styleId="null">
    <w:name w:val="null"/>
    <w:basedOn w:val="Normal"/>
    <w:rsid w:val="001E7B17"/>
    <w:pPr>
      <w:spacing w:before="100" w:beforeAutospacing="1" w:after="100" w:afterAutospacing="1" w:line="240" w:lineRule="auto"/>
    </w:pPr>
    <w:rPr>
      <w:rFonts w:ascii="Calibri" w:eastAsiaTheme="minorHAnsi" w:hAnsi="Calibri" w:cs="Calibri"/>
      <w:lang w:val="en-US"/>
    </w:rPr>
  </w:style>
  <w:style w:type="paragraph" w:styleId="BodyText">
    <w:name w:val="Body Text"/>
    <w:basedOn w:val="Normal"/>
    <w:link w:val="BodyTextChar"/>
    <w:uiPriority w:val="99"/>
    <w:semiHidden/>
    <w:unhideWhenUsed/>
    <w:rsid w:val="001E7B17"/>
    <w:pPr>
      <w:spacing w:after="120"/>
    </w:pPr>
  </w:style>
  <w:style w:type="character" w:customStyle="1" w:styleId="BodyTextChar">
    <w:name w:val="Body Text Char"/>
    <w:basedOn w:val="DefaultParagraphFont"/>
    <w:link w:val="BodyText"/>
    <w:uiPriority w:val="99"/>
    <w:semiHidden/>
    <w:rsid w:val="001E7B17"/>
    <w:rPr>
      <w:rFonts w:ascii="Arial" w:eastAsia="Arial" w:hAnsi="Arial" w:cs="Arial"/>
      <w:lang w:val="en"/>
    </w:rPr>
  </w:style>
  <w:style w:type="character" w:customStyle="1" w:styleId="Heading3Char">
    <w:name w:val="Heading 3 Char"/>
    <w:basedOn w:val="DefaultParagraphFont"/>
    <w:link w:val="Heading3"/>
    <w:uiPriority w:val="9"/>
    <w:rsid w:val="001E7B17"/>
    <w:rPr>
      <w:rFonts w:asciiTheme="majorHAnsi" w:eastAsiaTheme="majorEastAsia" w:hAnsiTheme="majorHAnsi" w:cstheme="majorBidi"/>
      <w:color w:val="1F3763" w:themeColor="accent1" w:themeShade="7F"/>
      <w:sz w:val="24"/>
      <w:szCs w:val="24"/>
      <w:lang w:val="en"/>
    </w:rPr>
  </w:style>
  <w:style w:type="paragraph" w:customStyle="1" w:styleId="VPH2">
    <w:name w:val="!VP H2"/>
    <w:next w:val="Normal"/>
    <w:qFormat/>
    <w:rsid w:val="001E7B17"/>
    <w:pPr>
      <w:keepNext/>
      <w:widowControl w:val="0"/>
      <w:spacing w:before="120" w:after="0" w:line="240" w:lineRule="auto"/>
      <w:outlineLvl w:val="1"/>
    </w:pPr>
    <w:rPr>
      <w:rFonts w:ascii="Poppins Medium" w:eastAsia="Times New Roman" w:hAnsi="Poppins Medium" w:cs="Times New Roman"/>
      <w:color w:val="000000" w:themeColor="text1"/>
      <w:spacing w:val="-4"/>
      <w:sz w:val="28"/>
      <w:szCs w:val="28"/>
    </w:rPr>
  </w:style>
  <w:style w:type="paragraph" w:styleId="ListParagraph">
    <w:name w:val="List Paragraph"/>
    <w:aliases w:val="Q - List Paragraph"/>
    <w:basedOn w:val="Normal"/>
    <w:link w:val="ListParagraphChar"/>
    <w:uiPriority w:val="34"/>
    <w:qFormat/>
    <w:rsid w:val="001E7B17"/>
    <w:pPr>
      <w:spacing w:before="120" w:after="120" w:line="240" w:lineRule="auto"/>
      <w:ind w:left="720"/>
      <w:contextualSpacing/>
    </w:pPr>
    <w:rPr>
      <w:rFonts w:ascii="Times New Roman" w:eastAsia="Times New Roman" w:hAnsi="Times New Roman" w:cs="Times New Roman"/>
      <w:lang w:val="en-US"/>
    </w:rPr>
  </w:style>
  <w:style w:type="paragraph" w:customStyle="1" w:styleId="LRWLBodyText">
    <w:name w:val="LRWL Body Text"/>
    <w:basedOn w:val="Normal"/>
    <w:link w:val="LRWLBodyTextChar"/>
    <w:qFormat/>
    <w:rsid w:val="001E7B17"/>
    <w:pPr>
      <w:spacing w:before="120" w:after="120" w:line="240" w:lineRule="auto"/>
    </w:pPr>
    <w:rPr>
      <w:rFonts w:eastAsia="Times New Roman" w:cs="Times New Roman"/>
      <w:lang w:val="en-US"/>
    </w:rPr>
  </w:style>
  <w:style w:type="character" w:customStyle="1" w:styleId="LRWLBodyTextChar">
    <w:name w:val="LRWL Body Text Char"/>
    <w:basedOn w:val="DefaultParagraphFont"/>
    <w:link w:val="LRWLBodyText"/>
    <w:rsid w:val="001E7B17"/>
    <w:rPr>
      <w:rFonts w:ascii="Arial" w:eastAsia="Times New Roman" w:hAnsi="Arial" w:cs="Times New Roman"/>
    </w:rPr>
  </w:style>
  <w:style w:type="paragraph" w:styleId="Header">
    <w:name w:val="header"/>
    <w:basedOn w:val="Normal"/>
    <w:link w:val="HeaderChar"/>
    <w:uiPriority w:val="99"/>
    <w:unhideWhenUsed/>
    <w:rsid w:val="000829CB"/>
    <w:pPr>
      <w:tabs>
        <w:tab w:val="center" w:pos="4680"/>
        <w:tab w:val="right" w:pos="9360"/>
      </w:tabs>
      <w:spacing w:line="240" w:lineRule="auto"/>
    </w:pPr>
  </w:style>
  <w:style w:type="character" w:customStyle="1" w:styleId="HeaderChar">
    <w:name w:val="Header Char"/>
    <w:basedOn w:val="DefaultParagraphFont"/>
    <w:link w:val="Header"/>
    <w:uiPriority w:val="99"/>
    <w:rsid w:val="000829CB"/>
    <w:rPr>
      <w:rFonts w:ascii="Arial" w:eastAsia="Arial" w:hAnsi="Arial" w:cs="Arial"/>
      <w:lang w:val="en"/>
    </w:rPr>
  </w:style>
  <w:style w:type="paragraph" w:styleId="Footer">
    <w:name w:val="footer"/>
    <w:basedOn w:val="Normal"/>
    <w:link w:val="FooterChar"/>
    <w:uiPriority w:val="99"/>
    <w:unhideWhenUsed/>
    <w:rsid w:val="000829CB"/>
    <w:pPr>
      <w:tabs>
        <w:tab w:val="center" w:pos="4680"/>
        <w:tab w:val="right" w:pos="9360"/>
      </w:tabs>
      <w:spacing w:line="240" w:lineRule="auto"/>
    </w:pPr>
  </w:style>
  <w:style w:type="character" w:customStyle="1" w:styleId="FooterChar">
    <w:name w:val="Footer Char"/>
    <w:basedOn w:val="DefaultParagraphFont"/>
    <w:link w:val="Footer"/>
    <w:uiPriority w:val="99"/>
    <w:rsid w:val="000829CB"/>
    <w:rPr>
      <w:rFonts w:ascii="Arial" w:eastAsia="Arial" w:hAnsi="Arial" w:cs="Arial"/>
      <w:lang w:val="en"/>
    </w:rPr>
  </w:style>
  <w:style w:type="character" w:styleId="Hyperlink">
    <w:name w:val="Hyperlink"/>
    <w:basedOn w:val="DefaultParagraphFont"/>
    <w:uiPriority w:val="99"/>
    <w:unhideWhenUsed/>
    <w:rsid w:val="00790BFD"/>
    <w:rPr>
      <w:color w:val="0563C1" w:themeColor="hyperlink"/>
      <w:u w:val="single"/>
    </w:rPr>
  </w:style>
  <w:style w:type="character" w:styleId="CommentReference">
    <w:name w:val="annotation reference"/>
    <w:basedOn w:val="DefaultParagraphFont"/>
    <w:uiPriority w:val="99"/>
    <w:semiHidden/>
    <w:unhideWhenUsed/>
    <w:rsid w:val="00960951"/>
    <w:rPr>
      <w:sz w:val="16"/>
      <w:szCs w:val="16"/>
    </w:rPr>
  </w:style>
  <w:style w:type="paragraph" w:styleId="CommentText">
    <w:name w:val="annotation text"/>
    <w:basedOn w:val="Normal"/>
    <w:link w:val="CommentTextChar"/>
    <w:uiPriority w:val="99"/>
    <w:unhideWhenUsed/>
    <w:rsid w:val="00960951"/>
    <w:pPr>
      <w:spacing w:line="240" w:lineRule="auto"/>
    </w:pPr>
    <w:rPr>
      <w:sz w:val="20"/>
      <w:szCs w:val="20"/>
    </w:rPr>
  </w:style>
  <w:style w:type="character" w:customStyle="1" w:styleId="CommentTextChar">
    <w:name w:val="Comment Text Char"/>
    <w:basedOn w:val="DefaultParagraphFont"/>
    <w:link w:val="CommentText"/>
    <w:uiPriority w:val="99"/>
    <w:rsid w:val="0096095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960951"/>
    <w:rPr>
      <w:b/>
      <w:bCs/>
    </w:rPr>
  </w:style>
  <w:style w:type="character" w:customStyle="1" w:styleId="CommentSubjectChar">
    <w:name w:val="Comment Subject Char"/>
    <w:basedOn w:val="CommentTextChar"/>
    <w:link w:val="CommentSubject"/>
    <w:uiPriority w:val="99"/>
    <w:semiHidden/>
    <w:rsid w:val="00960951"/>
    <w:rPr>
      <w:rFonts w:ascii="Arial" w:eastAsia="Arial" w:hAnsi="Arial" w:cs="Arial"/>
      <w:b/>
      <w:bCs/>
      <w:sz w:val="20"/>
      <w:szCs w:val="20"/>
      <w:lang w:val="en"/>
    </w:rPr>
  </w:style>
  <w:style w:type="character" w:styleId="UnresolvedMention">
    <w:name w:val="Unresolved Mention"/>
    <w:basedOn w:val="DefaultParagraphFont"/>
    <w:uiPriority w:val="99"/>
    <w:unhideWhenUsed/>
    <w:rsid w:val="00960951"/>
    <w:rPr>
      <w:color w:val="605E5C"/>
      <w:shd w:val="clear" w:color="auto" w:fill="E1DFDD"/>
    </w:rPr>
  </w:style>
  <w:style w:type="character" w:styleId="Mention">
    <w:name w:val="Mention"/>
    <w:basedOn w:val="DefaultParagraphFont"/>
    <w:uiPriority w:val="99"/>
    <w:unhideWhenUsed/>
    <w:rsid w:val="00960951"/>
    <w:rPr>
      <w:color w:val="2B579A"/>
      <w:shd w:val="clear" w:color="auto" w:fill="E1DFDD"/>
    </w:rPr>
  </w:style>
  <w:style w:type="character" w:styleId="FollowedHyperlink">
    <w:name w:val="FollowedHyperlink"/>
    <w:basedOn w:val="DefaultParagraphFont"/>
    <w:uiPriority w:val="99"/>
    <w:semiHidden/>
    <w:unhideWhenUsed/>
    <w:rsid w:val="006C31FE"/>
    <w:rPr>
      <w:color w:val="954F72" w:themeColor="followedHyperlink"/>
      <w:u w:val="single"/>
    </w:rPr>
  </w:style>
  <w:style w:type="character" w:customStyle="1" w:styleId="ListParagraphChar">
    <w:name w:val="List Paragraph Char"/>
    <w:aliases w:val="Q - List Paragraph Char"/>
    <w:basedOn w:val="DefaultParagraphFont"/>
    <w:link w:val="ListParagraph"/>
    <w:uiPriority w:val="34"/>
    <w:locked/>
    <w:rsid w:val="008D3E4C"/>
    <w:rPr>
      <w:rFonts w:ascii="Times New Roman" w:eastAsia="Times New Roman" w:hAnsi="Times New Roman" w:cs="Times New Roman"/>
    </w:rPr>
  </w:style>
  <w:style w:type="paragraph" w:styleId="Revision">
    <w:name w:val="Revision"/>
    <w:hidden/>
    <w:uiPriority w:val="99"/>
    <w:semiHidden/>
    <w:rsid w:val="00E84CEA"/>
    <w:pPr>
      <w:spacing w:after="0" w:line="240" w:lineRule="auto"/>
    </w:pPr>
    <w:rPr>
      <w:rFonts w:ascii="Arial" w:eastAsia="Arial" w:hAnsi="Arial" w:cs="Arial"/>
      <w:lang w:val="en"/>
    </w:rPr>
  </w:style>
  <w:style w:type="character" w:customStyle="1" w:styleId="ui-provider">
    <w:name w:val="ui-provider"/>
    <w:basedOn w:val="DefaultParagraphFont"/>
    <w:rsid w:val="00564223"/>
  </w:style>
  <w:style w:type="table" w:customStyle="1" w:styleId="GridTable5Dark-Accent12">
    <w:name w:val="Grid Table 5 Dark - Accent 12"/>
    <w:basedOn w:val="TableNormal"/>
    <w:uiPriority w:val="50"/>
    <w:rsid w:val="004174C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1Char">
    <w:name w:val="Heading 1 Char"/>
    <w:basedOn w:val="DefaultParagraphFont"/>
    <w:link w:val="Heading1"/>
    <w:uiPriority w:val="9"/>
    <w:rsid w:val="00945A32"/>
    <w:rPr>
      <w:rFonts w:ascii="Times New Roman" w:eastAsia="Times New Roman" w:hAnsi="Times New Roman" w:cs="Times New Roman"/>
      <w:b/>
      <w:bCs/>
      <w:kern w:val="36"/>
      <w:sz w:val="48"/>
      <w:szCs w:val="48"/>
    </w:rPr>
  </w:style>
  <w:style w:type="paragraph" w:customStyle="1" w:styleId="ETFNormal">
    <w:name w:val="ETF Normal"/>
    <w:basedOn w:val="Normal"/>
    <w:link w:val="ETFNormalChar"/>
    <w:qFormat/>
    <w:rsid w:val="00945A32"/>
    <w:pPr>
      <w:spacing w:before="120" w:after="120" w:line="240" w:lineRule="auto"/>
      <w:jc w:val="both"/>
    </w:pPr>
    <w:rPr>
      <w:rFonts w:eastAsia="Times New Roman"/>
      <w:szCs w:val="20"/>
      <w:lang w:val="en-US"/>
    </w:rPr>
  </w:style>
  <w:style w:type="character" w:customStyle="1" w:styleId="ETFNormalChar">
    <w:name w:val="ETF Normal Char"/>
    <w:basedOn w:val="DefaultParagraphFont"/>
    <w:link w:val="ETFNormal"/>
    <w:rsid w:val="00945A32"/>
    <w:rPr>
      <w:rFonts w:ascii="Arial" w:eastAsia="Times New Roman" w:hAnsi="Arial" w:cs="Arial"/>
      <w:szCs w:val="20"/>
    </w:rPr>
  </w:style>
  <w:style w:type="character" w:customStyle="1" w:styleId="cf01">
    <w:name w:val="cf01"/>
    <w:basedOn w:val="DefaultParagraphFont"/>
    <w:rsid w:val="00945A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499">
      <w:bodyDiv w:val="1"/>
      <w:marLeft w:val="0"/>
      <w:marRight w:val="0"/>
      <w:marTop w:val="0"/>
      <w:marBottom w:val="0"/>
      <w:divBdr>
        <w:top w:val="none" w:sz="0" w:space="0" w:color="auto"/>
        <w:left w:val="none" w:sz="0" w:space="0" w:color="auto"/>
        <w:bottom w:val="none" w:sz="0" w:space="0" w:color="auto"/>
        <w:right w:val="none" w:sz="0" w:space="0" w:color="auto"/>
      </w:divBdr>
    </w:div>
    <w:div w:id="296645032">
      <w:bodyDiv w:val="1"/>
      <w:marLeft w:val="0"/>
      <w:marRight w:val="0"/>
      <w:marTop w:val="0"/>
      <w:marBottom w:val="0"/>
      <w:divBdr>
        <w:top w:val="none" w:sz="0" w:space="0" w:color="auto"/>
        <w:left w:val="none" w:sz="0" w:space="0" w:color="auto"/>
        <w:bottom w:val="none" w:sz="0" w:space="0" w:color="auto"/>
        <w:right w:val="none" w:sz="0" w:space="0" w:color="auto"/>
      </w:divBdr>
    </w:div>
    <w:div w:id="546182850">
      <w:bodyDiv w:val="1"/>
      <w:marLeft w:val="0"/>
      <w:marRight w:val="0"/>
      <w:marTop w:val="0"/>
      <w:marBottom w:val="0"/>
      <w:divBdr>
        <w:top w:val="none" w:sz="0" w:space="0" w:color="auto"/>
        <w:left w:val="none" w:sz="0" w:space="0" w:color="auto"/>
        <w:bottom w:val="none" w:sz="0" w:space="0" w:color="auto"/>
        <w:right w:val="none" w:sz="0" w:space="0" w:color="auto"/>
      </w:divBdr>
    </w:div>
    <w:div w:id="730926463">
      <w:bodyDiv w:val="1"/>
      <w:marLeft w:val="0"/>
      <w:marRight w:val="0"/>
      <w:marTop w:val="0"/>
      <w:marBottom w:val="0"/>
      <w:divBdr>
        <w:top w:val="none" w:sz="0" w:space="0" w:color="auto"/>
        <w:left w:val="none" w:sz="0" w:space="0" w:color="auto"/>
        <w:bottom w:val="none" w:sz="0" w:space="0" w:color="auto"/>
        <w:right w:val="none" w:sz="0" w:space="0" w:color="auto"/>
      </w:divBdr>
    </w:div>
    <w:div w:id="1096170561">
      <w:bodyDiv w:val="1"/>
      <w:marLeft w:val="0"/>
      <w:marRight w:val="0"/>
      <w:marTop w:val="0"/>
      <w:marBottom w:val="0"/>
      <w:divBdr>
        <w:top w:val="none" w:sz="0" w:space="0" w:color="auto"/>
        <w:left w:val="none" w:sz="0" w:space="0" w:color="auto"/>
        <w:bottom w:val="none" w:sz="0" w:space="0" w:color="auto"/>
        <w:right w:val="none" w:sz="0" w:space="0" w:color="auto"/>
      </w:divBdr>
    </w:div>
    <w:div w:id="1154031758">
      <w:bodyDiv w:val="1"/>
      <w:marLeft w:val="0"/>
      <w:marRight w:val="0"/>
      <w:marTop w:val="0"/>
      <w:marBottom w:val="0"/>
      <w:divBdr>
        <w:top w:val="none" w:sz="0" w:space="0" w:color="auto"/>
        <w:left w:val="none" w:sz="0" w:space="0" w:color="auto"/>
        <w:bottom w:val="none" w:sz="0" w:space="0" w:color="auto"/>
        <w:right w:val="none" w:sz="0" w:space="0" w:color="auto"/>
      </w:divBdr>
    </w:div>
    <w:div w:id="1819105743">
      <w:bodyDiv w:val="1"/>
      <w:marLeft w:val="0"/>
      <w:marRight w:val="0"/>
      <w:marTop w:val="0"/>
      <w:marBottom w:val="0"/>
      <w:divBdr>
        <w:top w:val="none" w:sz="0" w:space="0" w:color="auto"/>
        <w:left w:val="none" w:sz="0" w:space="0" w:color="auto"/>
        <w:bottom w:val="none" w:sz="0" w:space="0" w:color="auto"/>
        <w:right w:val="none" w:sz="0" w:space="0" w:color="auto"/>
      </w:divBdr>
    </w:div>
    <w:div w:id="1826699766">
      <w:bodyDiv w:val="1"/>
      <w:marLeft w:val="0"/>
      <w:marRight w:val="0"/>
      <w:marTop w:val="0"/>
      <w:marBottom w:val="0"/>
      <w:divBdr>
        <w:top w:val="none" w:sz="0" w:space="0" w:color="auto"/>
        <w:left w:val="none" w:sz="0" w:space="0" w:color="auto"/>
        <w:bottom w:val="none" w:sz="0" w:space="0" w:color="auto"/>
        <w:right w:val="none" w:sz="0" w:space="0" w:color="auto"/>
      </w:divBdr>
    </w:div>
    <w:div w:id="18706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tf.wi.gov/insurance/health-plan-and-vendor-contact-inform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tf.wi.gov/resource/our-wisconsin-retirement-system-strong-wisconsin" TargetMode="External"/><Relationship Id="rId17" Type="http://schemas.openxmlformats.org/officeDocument/2006/relationships/hyperlink" Target="https://etf.wi.gov/node/35441" TargetMode="External"/><Relationship Id="rId2" Type="http://schemas.openxmlformats.org/officeDocument/2006/relationships/customXml" Target="../customXml/item2.xml"/><Relationship Id="rId16" Type="http://schemas.openxmlformats.org/officeDocument/2006/relationships/hyperlink" Target="https://etf.wi.gov/procur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f.wi.gov/node/35441" TargetMode="External"/><Relationship Id="rId5" Type="http://schemas.openxmlformats.org/officeDocument/2006/relationships/styles" Target="styles.xml"/><Relationship Id="rId15" Type="http://schemas.openxmlformats.org/officeDocument/2006/relationships/hyperlink" Target="https://etf.wi.gov/insurance/health-plan-and-vendor-contact-informatio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TFsmbProcurement@etf.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319d51-faf3-4dcb-a288-8f2206f240ed">
      <UserInfo>
        <DisplayName>Heisterkamp, Molly - ETF</DisplayName>
        <AccountId>22</AccountId>
        <AccountType/>
      </UserInfo>
      <UserInfo>
        <DisplayName>Sieg, Tricia - ETF</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4" ma:contentTypeDescription="Create a new document." ma:contentTypeScope="" ma:versionID="a73c0fac0b7847ebc6e3c1eac0647dec">
  <xsd:schema xmlns:xsd="http://www.w3.org/2001/XMLSchema" xmlns:xs="http://www.w3.org/2001/XMLSchema" xmlns:p="http://schemas.microsoft.com/office/2006/metadata/properties" xmlns:ns2="cd03f0c8-8ed3-46e0-8ad1-2ac7f654781c" xmlns:ns3="f0319d51-faf3-4dcb-a288-8f2206f240ed" targetNamespace="http://schemas.microsoft.com/office/2006/metadata/properties" ma:root="true" ma:fieldsID="9506a0f34aa91455ae451c5e010262c1" ns2:_="" ns3:_="">
    <xsd:import namespace="cd03f0c8-8ed3-46e0-8ad1-2ac7f654781c"/>
    <xsd:import namespace="f0319d51-faf3-4dcb-a288-8f2206f240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319d51-faf3-4dcb-a288-8f2206f24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DC968-2A80-47F9-8FF3-299B28B3FEB6}">
  <ds:schemaRefs>
    <ds:schemaRef ds:uri="http://schemas.microsoft.com/office/2006/metadata/properties"/>
    <ds:schemaRef ds:uri="http://schemas.microsoft.com/office/infopath/2007/PartnerControls"/>
    <ds:schemaRef ds:uri="f0319d51-faf3-4dcb-a288-8f2206f240ed"/>
  </ds:schemaRefs>
</ds:datastoreItem>
</file>

<file path=customXml/itemProps2.xml><?xml version="1.0" encoding="utf-8"?>
<ds:datastoreItem xmlns:ds="http://schemas.openxmlformats.org/officeDocument/2006/customXml" ds:itemID="{C76362E9-6735-4484-AB22-6621456F6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f0319d51-faf3-4dcb-a288-8f2206f24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48E48-81EC-443F-8B9F-124728728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6211</Words>
  <Characters>35404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41532</CharactersWithSpaces>
  <SharedDoc>false</SharedDoc>
  <HLinks>
    <vt:vector size="18" baseType="variant">
      <vt:variant>
        <vt:i4>3932282</vt:i4>
      </vt:variant>
      <vt:variant>
        <vt:i4>18</vt:i4>
      </vt:variant>
      <vt:variant>
        <vt:i4>0</vt:i4>
      </vt:variant>
      <vt:variant>
        <vt:i4>5</vt:i4>
      </vt:variant>
      <vt:variant>
        <vt:lpwstr>https://etf.wi.gov/boards/groupinsurance/2021/08/18/gib6/direct</vt:lpwstr>
      </vt:variant>
      <vt:variant>
        <vt:lpwstr/>
      </vt:variant>
      <vt:variant>
        <vt:i4>4128863</vt:i4>
      </vt:variant>
      <vt:variant>
        <vt:i4>3</vt:i4>
      </vt:variant>
      <vt:variant>
        <vt:i4>0</vt:i4>
      </vt:variant>
      <vt:variant>
        <vt:i4>5</vt:i4>
      </vt:variant>
      <vt:variant>
        <vt:lpwstr>https://etfonline.wi.gov/etf/internet/RFP/Wellness_2016/index.html</vt:lpwstr>
      </vt:variant>
      <vt:variant>
        <vt:lpwstr/>
      </vt:variant>
      <vt:variant>
        <vt:i4>1310807</vt:i4>
      </vt:variant>
      <vt:variant>
        <vt:i4>0</vt:i4>
      </vt:variant>
      <vt:variant>
        <vt:i4>0</vt:i4>
      </vt:variant>
      <vt:variant>
        <vt:i4>5</vt:i4>
      </vt:variant>
      <vt:variant>
        <vt:lpwstr>https://etf.wi.gov/node/26541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Bucaida, Beth - ETF</dc:creator>
  <cp:keywords/>
  <dc:description/>
  <cp:lastModifiedBy>Bucaida, Beth - ETF</cp:lastModifiedBy>
  <cp:revision>7</cp:revision>
  <dcterms:created xsi:type="dcterms:W3CDTF">2024-06-25T19:10:00Z</dcterms:created>
  <dcterms:modified xsi:type="dcterms:W3CDTF">2024-06-25T20:52:00Z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0x0101000A39D56AD27A7A4FA7FFDBC1B0490319</vt:lpwstr>
  </property>
</Properties>
</file>